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658" w:val="left" w:leader="none"/>
        </w:tabs>
        <w:spacing w:line="240" w:lineRule="auto"/>
        <w:ind w:left="1884" w:right="0" w:firstLine="0"/>
        <w:jc w:val="left"/>
        <w:rPr>
          <w:sz w:val="20"/>
        </w:rPr>
      </w:pPr>
      <w:r>
        <w:rPr>
          <w:sz w:val="20"/>
        </w:rPr>
        <w:pict>
          <v:group style="width:22.9pt;height:15.3pt;mso-position-horizontal-relative:char;mso-position-vertical-relative:line" id="docshapegroup2" coordorigin="0,0" coordsize="458,306">
            <v:rect style="position:absolute;left:0;top:0;width:458;height:306" id="docshape3" filled="true" fillcolor="#254aa4" stroked="false">
              <v:fill type="solid"/>
            </v:rect>
            <v:shape style="position:absolute;left:110;top:35;width:237;height:237" type="#_x0000_t75" id="docshape4" stroked="false">
              <v:imagedata r:id="rId6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8"/>
          <w:sz w:val="20"/>
        </w:rPr>
        <w:pict>
          <v:group style="width:92.45pt;height:11.5pt;mso-position-horizontal-relative:char;mso-position-vertical-relative:line" id="docshapegroup5" coordorigin="0,0" coordsize="1849,230">
            <v:shape style="position:absolute;left:0;top:0;width:130;height:227" id="docshape6" coordorigin="0,0" coordsize="130,227" path="m130,0l0,0,0,40,0,90,0,128,0,189,0,227,130,227,130,189,48,189,48,128,124,128,124,90,48,90,48,40,130,40,130,0xe" filled="true" fillcolor="#454545" stroked="false">
              <v:path arrowok="t"/>
              <v:fill type="solid"/>
            </v:shape>
            <v:shape style="position:absolute;left:182;top:0;width:186;height:230" type="#_x0000_t75" id="docshape7" stroked="false">
              <v:imagedata r:id="rId7" o:title=""/>
            </v:shape>
            <v:shape style="position:absolute;left:409;top:0;width:585;height:230" type="#_x0000_t75" id="docshape8" stroked="false">
              <v:imagedata r:id="rId8" o:title=""/>
            </v:shape>
            <v:shape style="position:absolute;left:1028;top:16;width:277;height:214" type="#_x0000_t75" id="docshape9" stroked="false">
              <v:imagedata r:id="rId9" o:title=""/>
            </v:shape>
            <v:shape style="position:absolute;left:1336;top:50;width:159;height:180" type="#_x0000_t75" id="docshape10" stroked="false">
              <v:imagedata r:id="rId10" o:title=""/>
            </v:shape>
            <v:shape style="position:absolute;left:1689;top:50;width:160;height:177" type="#_x0000_t75" id="docshape11" stroked="false">
              <v:imagedata r:id="rId11" o:title=""/>
            </v:shape>
            <v:shape style="position:absolute;left:1539;top:50;width:113;height:177" type="#_x0000_t75" id="docshape12" stroked="false">
              <v:imagedata r:id="rId12" o:title=""/>
            </v:shape>
          </v:group>
        </w:pict>
      </w:r>
      <w:r>
        <w:rPr>
          <w:position w:val="8"/>
          <w:sz w:val="20"/>
        </w:rPr>
      </w:r>
      <w:r>
        <w:rPr>
          <w:spacing w:val="75"/>
          <w:position w:val="8"/>
          <w:sz w:val="20"/>
        </w:rPr>
        <w:t> </w:t>
      </w:r>
      <w:r>
        <w:rPr>
          <w:spacing w:val="75"/>
          <w:position w:val="8"/>
          <w:sz w:val="20"/>
        </w:rPr>
        <w:pict>
          <v:group style="width:62.5pt;height:12.2pt;mso-position-horizontal-relative:char;mso-position-vertical-relative:line" id="docshapegroup13" coordorigin="0,0" coordsize="1250,244">
            <v:shape style="position:absolute;left:0;top:14;width:168;height:227" type="#_x0000_t75" id="docshape14" stroked="false">
              <v:imagedata r:id="rId13" o:title=""/>
            </v:shape>
            <v:shape style="position:absolute;left:204;top:63;width:154;height:180" type="#_x0000_t75" id="docshape15" stroked="false">
              <v:imagedata r:id="rId14" o:title=""/>
            </v:shape>
            <v:rect style="position:absolute;left:412;top:0;width:48;height:241" id="docshape16" filled="true" fillcolor="#454545" stroked="false">
              <v:fill type="solid"/>
            </v:rect>
            <v:shape style="position:absolute;left:515;top:0;width:346;height:244" type="#_x0000_t75" id="docshape17" stroked="false">
              <v:imagedata r:id="rId15" o:title=""/>
            </v:shape>
            <v:shape style="position:absolute;left:915;top:64;width:160;height:177" type="#_x0000_t75" id="docshape18" stroked="false">
              <v:imagedata r:id="rId16" o:title=""/>
            </v:shape>
            <v:shape style="position:absolute;left:1118;top:64;width:131;height:180" type="#_x0000_t75" id="docshape19" stroked="false">
              <v:imagedata r:id="rId17" o:title=""/>
            </v:shape>
          </v:group>
        </w:pict>
      </w:r>
      <w:r>
        <w:rPr>
          <w:spacing w:val="75"/>
          <w:position w:val="8"/>
          <w:sz w:val="20"/>
        </w:rPr>
      </w:r>
      <w:r>
        <w:rPr>
          <w:spacing w:val="51"/>
          <w:position w:val="8"/>
          <w:sz w:val="20"/>
        </w:rPr>
        <w:t> </w:t>
      </w:r>
      <w:r>
        <w:rPr>
          <w:spacing w:val="51"/>
          <w:position w:val="8"/>
          <w:sz w:val="20"/>
        </w:rPr>
        <w:pict>
          <v:group style="width:62.25pt;height:12.2pt;mso-position-horizontal-relative:char;mso-position-vertical-relative:line" id="docshapegroup20" coordorigin="0,0" coordsize="1245,244">
            <v:shape style="position:absolute;left:0;top:11;width:148;height:233" type="#_x0000_t75" id="docshape21" stroked="false">
              <v:imagedata r:id="rId18" o:title=""/>
            </v:shape>
            <v:shape style="position:absolute;left:189;top:67;width:160;height:177" type="#_x0000_t75" id="docshape22" stroked="false">
              <v:imagedata r:id="rId19" o:title=""/>
            </v:shape>
            <v:shape style="position:absolute;left:405;top:64;width:262;height:177" type="#_x0000_t75" id="docshape23" stroked="false">
              <v:imagedata r:id="rId20" o:title=""/>
            </v:shape>
            <v:shape style="position:absolute;left:722;top:64;width:262;height:177" type="#_x0000_t75" id="docshape24" stroked="false">
              <v:imagedata r:id="rId21" o:title=""/>
            </v:shape>
            <v:shape style="position:absolute;left:1037;top:0;width:52;height:241" id="docshape25" coordorigin="1037,0" coordsize="52,241" path="m1087,241l1039,241,1039,68,1087,68,1087,241xm1071,47l1046,47,1037,38,1037,8,1046,0,1080,0,1089,8,1089,30,1087,36,1082,40,1078,44,1071,47xe" filled="true" fillcolor="#454545" stroked="false">
              <v:path arrowok="t"/>
              <v:fill type="solid"/>
            </v:shape>
            <v:shape style="position:absolute;left:1124;top:30;width:120;height:214" type="#_x0000_t75" id="docshape26" stroked="false">
              <v:imagedata r:id="rId22" o:title=""/>
            </v:shape>
          </v:group>
        </w:pict>
      </w:r>
      <w:r>
        <w:rPr>
          <w:spacing w:val="51"/>
          <w:position w:val="8"/>
          <w:sz w:val="20"/>
        </w:rPr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Heading1"/>
        <w:spacing w:before="233"/>
        <w:ind w:left="2913" w:right="2916"/>
        <w:jc w:val="center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1867021</wp:posOffset>
            </wp:positionH>
            <wp:positionV relativeFrom="paragraph">
              <wp:posOffset>-484355</wp:posOffset>
            </wp:positionV>
            <wp:extent cx="246798" cy="247650"/>
            <wp:effectExtent l="0" t="0" r="0" b="0"/>
            <wp:wrapNone/>
            <wp:docPr id="1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9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2.312881pt;margin-top:-47.613476pt;width:233.15pt;height:29.85pt;mso-position-horizontal-relative:page;mso-position-vertical-relative:paragraph;z-index:15731200" id="docshapegroup27" coordorigin="3646,-952" coordsize="4663,597">
            <v:shape style="position:absolute;left:3658;top:-953;width:418;height:258" type="#_x0000_t75" id="docshape28" stroked="false">
              <v:imagedata r:id="rId24" o:title=""/>
            </v:shape>
            <v:shape style="position:absolute;left:4108;top:-908;width:339;height:200" type="#_x0000_t75" id="docshape29" stroked="false">
              <v:imagedata r:id="rId25" o:title=""/>
            </v:shape>
            <v:shape style="position:absolute;left:4916;top:-908;width:717;height:213" type="#_x0000_t75" id="docshape30" stroked="false">
              <v:imagedata r:id="rId26" o:title=""/>
            </v:shape>
            <v:shape style="position:absolute;left:5739;top:-950;width:96;height:191" id="docshape31" coordorigin="5740,-949" coordsize="96,191" path="m5836,-949l5740,-949,5740,-917,5740,-875,5740,-841,5740,-793,5740,-759,5836,-759,5836,-793,5775,-793,5775,-841,5832,-841,5832,-875,5775,-875,5775,-917,5836,-917,5836,-949xe" filled="true" fillcolor="#8d8d8d" stroked="false">
              <v:path arrowok="t"/>
              <v:fill type="solid"/>
            </v:shape>
            <v:shape style="position:absolute;left:5866;top:-953;width:496;height:196" type="#_x0000_t75" id="docshape32" stroked="false">
              <v:imagedata r:id="rId27" o:title=""/>
            </v:shape>
            <v:shape style="position:absolute;left:6401;top:-905;width:116;height:147" id="docshape33" coordorigin="6401,-905" coordsize="116,147" path="m6517,-905l6401,-905,6401,-875,6401,-758,6436,-758,6436,-875,6483,-875,6483,-758,6517,-758,6517,-875,6517,-905xe" filled="true" fillcolor="#8d8d8d" stroked="false">
              <v:path arrowok="t"/>
              <v:fill type="solid"/>
            </v:shape>
            <v:shape style="position:absolute;left:6548;top:-908;width:430;height:200" type="#_x0000_t75" id="docshape34" stroked="false">
              <v:imagedata r:id="rId28" o:title=""/>
            </v:shape>
            <v:shape style="position:absolute;left:7018;top:-905;width:132;height:146" type="#_x0000_t75" id="docshape35" stroked="false">
              <v:imagedata r:id="rId29" o:title=""/>
            </v:shape>
            <v:rect style="position:absolute;left:3646;top:-644;width:4663;height:288" id="docshape36" filled="true" fillcolor="#254aa4" stroked="false">
              <v:fill type="solid"/>
            </v:rect>
            <v:shape style="position:absolute;left:5013;top:-549;width:1929;height:124" type="#_x0000_t75" id="docshape37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227.485947pt;margin-top:-45.375595pt;width:13.2pt;height:7.55pt;mso-position-horizontal-relative:page;mso-position-vertical-relative:paragraph;z-index:15731712" id="docshapegroup38" coordorigin="4550,-908" coordsize="264,151">
            <v:shape style="position:absolute;left:4549;top:-905;width:119;height:147" id="docshape39" coordorigin="4550,-905" coordsize="119,147" path="m4668,-905l4633,-905,4633,-849,4585,-849,4585,-905,4550,-905,4550,-849,4550,-820,4550,-758,4585,-758,4585,-820,4633,-820,4633,-758,4668,-758,4668,-820,4668,-849,4668,-905xe" filled="true" fillcolor="#8d8d8d" stroked="false">
              <v:path arrowok="t"/>
              <v:fill type="solid"/>
            </v:shape>
            <v:shape style="position:absolute;left:4699;top:-908;width:114;height:151" type="#_x0000_t75" id="docshape40" stroked="false">
              <v:imagedata r:id="rId31" o:title=""/>
            </v:shape>
            <w10:wrap type="none"/>
          </v:group>
        </w:pict>
      </w:r>
      <w:r>
        <w:rPr/>
        <w:pict>
          <v:group style="position:absolute;margin-left:362.815308pt;margin-top:-47.470627pt;width:51.6pt;height:9.65pt;mso-position-horizontal-relative:page;mso-position-vertical-relative:paragraph;z-index:15732224" id="docshapegroup41" coordorigin="7256,-949" coordsize="1032,193">
            <v:shape style="position:absolute;left:7256;top:-950;width:410;height:193" type="#_x0000_t75" id="docshape42" stroked="false">
              <v:imagedata r:id="rId32" o:title=""/>
            </v:shape>
            <v:shape style="position:absolute;left:7705;top:-908;width:254;height:151" type="#_x0000_t75" id="docshape43" stroked="false">
              <v:imagedata r:id="rId33" o:title=""/>
            </v:shape>
            <v:shape style="position:absolute;left:7997;top:-905;width:119;height:147" id="docshape44" coordorigin="7997,-905" coordsize="119,147" path="m8116,-905l8081,-905,8081,-849,8033,-849,8033,-905,7997,-905,7997,-849,7997,-820,7997,-758,8033,-758,8033,-820,8081,-820,8081,-758,8116,-758,8116,-820,8116,-849,8116,-905xe" filled="true" fillcolor="#8d8d8d" stroked="false">
              <v:path arrowok="t"/>
              <v:fill type="solid"/>
            </v:shape>
            <v:shape style="position:absolute;left:8155;top:-905;width:132;height:146" type="#_x0000_t75" id="docshape45" stroked="false">
              <v:imagedata r:id="rId34" o:title=""/>
            </v:shape>
            <w10:wrap type="none"/>
          </v:group>
        </w:pict>
      </w:r>
      <w:r>
        <w:rPr>
          <w:u w:val="thick"/>
        </w:rPr>
        <w:t>Декларация</w:t>
      </w:r>
      <w:r>
        <w:rPr>
          <w:spacing w:val="-3"/>
          <w:u w:val="thick"/>
        </w:rPr>
        <w:t> </w:t>
      </w:r>
      <w:r>
        <w:rPr>
          <w:u w:val="thick"/>
        </w:rPr>
        <w:t>от София,</w:t>
      </w:r>
      <w:r>
        <w:rPr>
          <w:spacing w:val="-2"/>
          <w:u w:val="thick"/>
        </w:rPr>
        <w:t> </w:t>
      </w:r>
      <w:r>
        <w:rPr>
          <w:u w:val="thick"/>
        </w:rPr>
        <w:t>17</w:t>
      </w:r>
      <w:r>
        <w:rPr>
          <w:spacing w:val="-2"/>
          <w:u w:val="thick"/>
        </w:rPr>
        <w:t> </w:t>
      </w:r>
      <w:r>
        <w:rPr>
          <w:u w:val="thick"/>
        </w:rPr>
        <w:t>май</w:t>
      </w:r>
      <w:r>
        <w:rPr>
          <w:spacing w:val="-2"/>
          <w:u w:val="thick"/>
        </w:rPr>
        <w:t> </w:t>
      </w:r>
      <w:r>
        <w:rPr>
          <w:u w:val="thick"/>
        </w:rPr>
        <w:t>2018</w:t>
      </w:r>
      <w:r>
        <w:rPr>
          <w:spacing w:val="-1"/>
          <w:u w:val="thick"/>
        </w:rPr>
        <w:t> </w:t>
      </w:r>
      <w:r>
        <w:rPr>
          <w:spacing w:val="-5"/>
          <w:u w:val="thick"/>
        </w:rPr>
        <w:t>г.</w:t>
      </w:r>
    </w:p>
    <w:p>
      <w:pPr>
        <w:pStyle w:val="BodyText"/>
        <w:spacing w:before="11"/>
        <w:ind w:left="0" w:firstLine="0"/>
        <w:rPr>
          <w:b/>
          <w:sz w:val="20"/>
        </w:rPr>
      </w:pPr>
    </w:p>
    <w:p>
      <w:pPr>
        <w:pStyle w:val="BodyText"/>
        <w:spacing w:line="360" w:lineRule="auto" w:before="90"/>
        <w:ind w:left="112" w:right="143" w:firstLine="0"/>
      </w:pPr>
      <w:r>
        <w:rPr/>
        <w:t>Ние, ръководителите на Европейския съюз (ЕС) и на неговите държави членки, в консултации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нашите</w:t>
      </w:r>
      <w:r>
        <w:rPr>
          <w:spacing w:val="-7"/>
        </w:rPr>
        <w:t> </w:t>
      </w:r>
      <w:r>
        <w:rPr/>
        <w:t>партньори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Западните</w:t>
      </w:r>
      <w:r>
        <w:rPr>
          <w:spacing w:val="-4"/>
        </w:rPr>
        <w:t> </w:t>
      </w:r>
      <w:r>
        <w:rPr/>
        <w:t>Балкани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присъствието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съответните заинтересовани страни от региона, днес стигнахме до следните заключения: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21" w:after="0"/>
        <w:ind w:left="679" w:right="119" w:hanging="567"/>
        <w:jc w:val="left"/>
        <w:rPr>
          <w:sz w:val="24"/>
        </w:rPr>
      </w:pPr>
      <w:r>
        <w:rPr>
          <w:sz w:val="24"/>
        </w:rPr>
        <w:t>ЕС приветства споделената ангажираност на партньорите от Западните Балкани с </w:t>
      </w:r>
      <w:r>
        <w:rPr>
          <w:b/>
          <w:sz w:val="24"/>
        </w:rPr>
        <w:t>европейските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ценности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принципи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както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визията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силна,</w:t>
      </w:r>
      <w:r>
        <w:rPr>
          <w:spacing w:val="-3"/>
          <w:sz w:val="24"/>
        </w:rPr>
        <w:t> </w:t>
      </w:r>
      <w:r>
        <w:rPr>
          <w:sz w:val="24"/>
        </w:rPr>
        <w:t>стабилна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обединена Европа, основана на нашите исторически, културни и географски връзки и взаимни интереси в областта на политиката, сигурността и икономиката.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20" w:after="0"/>
        <w:ind w:left="679" w:right="142" w:hanging="567"/>
        <w:jc w:val="left"/>
        <w:rPr>
          <w:sz w:val="24"/>
        </w:rPr>
      </w:pPr>
      <w:r>
        <w:rPr>
          <w:sz w:val="24"/>
        </w:rPr>
        <w:t>Като припомня срещата на високо равнище в Солун през 2003 г., ЕС потвърждава отново </w:t>
      </w:r>
      <w:r>
        <w:rPr>
          <w:b/>
          <w:sz w:val="24"/>
        </w:rPr>
        <w:t>недвусмислената си подкрепа за европейската перспектива </w:t>
      </w:r>
      <w:r>
        <w:rPr>
          <w:sz w:val="24"/>
        </w:rPr>
        <w:t>на Западните Балкани. Въз основа на постигнатия досега напредък партньорите от Западните Балкани</w:t>
      </w:r>
      <w:r>
        <w:rPr>
          <w:spacing w:val="-3"/>
          <w:sz w:val="24"/>
        </w:rPr>
        <w:t> </w:t>
      </w:r>
      <w:r>
        <w:rPr>
          <w:sz w:val="24"/>
        </w:rPr>
        <w:t>отново</w:t>
      </w:r>
      <w:r>
        <w:rPr>
          <w:spacing w:val="-4"/>
          <w:sz w:val="24"/>
        </w:rPr>
        <w:t> </w:t>
      </w:r>
      <w:r>
        <w:rPr>
          <w:sz w:val="24"/>
        </w:rPr>
        <w:t>потвърждават</w:t>
      </w:r>
      <w:r>
        <w:rPr>
          <w:spacing w:val="-4"/>
          <w:sz w:val="24"/>
        </w:rPr>
        <w:t> </w:t>
      </w:r>
      <w:r>
        <w:rPr>
          <w:sz w:val="24"/>
        </w:rPr>
        <w:t>ангажираността</w:t>
      </w:r>
      <w:r>
        <w:rPr>
          <w:spacing w:val="-3"/>
          <w:sz w:val="24"/>
        </w:rPr>
        <w:t> </w:t>
      </w:r>
      <w:r>
        <w:rPr>
          <w:sz w:val="24"/>
        </w:rPr>
        <w:t>си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европейската</w:t>
      </w:r>
      <w:r>
        <w:rPr>
          <w:spacing w:val="-5"/>
          <w:sz w:val="24"/>
        </w:rPr>
        <w:t> </w:t>
      </w:r>
      <w:r>
        <w:rPr>
          <w:sz w:val="24"/>
        </w:rPr>
        <w:t>перспектива</w:t>
      </w:r>
      <w:r>
        <w:rPr>
          <w:spacing w:val="-5"/>
          <w:sz w:val="24"/>
        </w:rPr>
        <w:t> </w:t>
      </w:r>
      <w:r>
        <w:rPr>
          <w:sz w:val="24"/>
        </w:rPr>
        <w:t>като</w:t>
      </w:r>
      <w:r>
        <w:rPr>
          <w:spacing w:val="-4"/>
          <w:sz w:val="24"/>
        </w:rPr>
        <w:t> </w:t>
      </w:r>
      <w:r>
        <w:rPr>
          <w:sz w:val="24"/>
        </w:rPr>
        <w:t>свой категоричен стратегически избор и с активизирането на своите усилия и взаимна подкрепа. Надеждността на тези усилия зависи от ясното информиране на </w:t>
      </w:r>
      <w:r>
        <w:rPr>
          <w:spacing w:val="-2"/>
          <w:sz w:val="24"/>
        </w:rPr>
        <w:t>обществеността.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19" w:after="0"/>
        <w:ind w:left="679" w:right="209" w:hanging="567"/>
        <w:jc w:val="left"/>
        <w:rPr>
          <w:sz w:val="24"/>
        </w:rPr>
      </w:pPr>
      <w:r>
        <w:rPr>
          <w:sz w:val="24"/>
        </w:rPr>
        <w:t>ЕС е решен да укрепи и засили своята ангажираност на всички равнища в подкрепа на политическата,</w:t>
      </w:r>
      <w:r>
        <w:rPr>
          <w:spacing w:val="-5"/>
          <w:sz w:val="24"/>
        </w:rPr>
        <w:t> </w:t>
      </w:r>
      <w:r>
        <w:rPr>
          <w:sz w:val="24"/>
        </w:rPr>
        <w:t>икономическата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социалната</w:t>
      </w:r>
      <w:r>
        <w:rPr>
          <w:spacing w:val="-6"/>
          <w:sz w:val="24"/>
        </w:rPr>
        <w:t> </w:t>
      </w:r>
      <w:r>
        <w:rPr>
          <w:sz w:val="24"/>
        </w:rPr>
        <w:t>трансформация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региона,</w:t>
      </w:r>
      <w:r>
        <w:rPr>
          <w:spacing w:val="-5"/>
          <w:sz w:val="24"/>
        </w:rPr>
        <w:t> </w:t>
      </w:r>
      <w:r>
        <w:rPr>
          <w:sz w:val="24"/>
        </w:rPr>
        <w:t>включително чрез засилена помощ, въз основа на постигнатия от партньорите от Западните Балкани съществен напредък в областта на принципите на правовата държава и на социално- икономическите реформи.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19" w:after="0"/>
        <w:ind w:left="679" w:right="215" w:hanging="567"/>
        <w:jc w:val="left"/>
        <w:rPr>
          <w:sz w:val="24"/>
        </w:rPr>
      </w:pPr>
      <w:r>
        <w:rPr>
          <w:sz w:val="24"/>
        </w:rPr>
        <w:t>ЕС</w:t>
      </w:r>
      <w:r>
        <w:rPr>
          <w:spacing w:val="-3"/>
          <w:sz w:val="24"/>
        </w:rPr>
        <w:t> </w:t>
      </w:r>
      <w:r>
        <w:rPr>
          <w:sz w:val="24"/>
        </w:rPr>
        <w:t>приветства</w:t>
      </w:r>
      <w:r>
        <w:rPr>
          <w:spacing w:val="-4"/>
          <w:sz w:val="24"/>
        </w:rPr>
        <w:t> </w:t>
      </w:r>
      <w:r>
        <w:rPr>
          <w:sz w:val="24"/>
        </w:rPr>
        <w:t>ангажираността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партньорите</w:t>
      </w:r>
      <w:r>
        <w:rPr>
          <w:spacing w:val="-7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Западните</w:t>
      </w:r>
      <w:r>
        <w:rPr>
          <w:spacing w:val="-4"/>
          <w:sz w:val="24"/>
        </w:rPr>
        <w:t> </w:t>
      </w:r>
      <w:r>
        <w:rPr>
          <w:sz w:val="24"/>
        </w:rPr>
        <w:t>Балкани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върховенството на </w:t>
      </w:r>
      <w:r>
        <w:rPr>
          <w:b/>
          <w:sz w:val="24"/>
        </w:rPr>
        <w:t>демокрацията и принципите на правовата държава, по-специално борбата с корупцията и организираната престъпност, доброто управление и зачитането на правата на човека и правата на лицата, принадлежащи към малцинства</w:t>
      </w:r>
      <w:r>
        <w:rPr>
          <w:sz w:val="24"/>
        </w:rPr>
        <w:t>. Ефективното изпълнение на реформите от тяхна страна се крепи на тези основи. Гражданското общество и независимите медии играят ключова роля в процеса на </w:t>
      </w:r>
      <w:r>
        <w:rPr>
          <w:spacing w:val="-2"/>
          <w:sz w:val="24"/>
        </w:rPr>
        <w:t>демократизация.</w:t>
      </w:r>
    </w:p>
    <w:p>
      <w:pPr>
        <w:spacing w:after="0" w:line="360" w:lineRule="auto"/>
        <w:jc w:val="left"/>
        <w:rPr>
          <w:sz w:val="24"/>
        </w:rPr>
        <w:sectPr>
          <w:footerReference w:type="default" r:id="rId5"/>
          <w:type w:val="continuous"/>
          <w:pgSz w:w="11910" w:h="16850"/>
          <w:pgMar w:footer="861" w:header="0" w:top="1380" w:bottom="1060" w:left="102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12" w:lineRule="auto" w:before="76" w:after="0"/>
        <w:ind w:left="679" w:right="230" w:hanging="567"/>
        <w:jc w:val="left"/>
        <w:rPr>
          <w:sz w:val="24"/>
        </w:rPr>
      </w:pPr>
      <w:r>
        <w:rPr>
          <w:sz w:val="24"/>
        </w:rPr>
        <w:t>ЕС подкрепя ангажимента на партньорите от Западните Балкани да продължат да укрепват </w:t>
      </w:r>
      <w:r>
        <w:rPr>
          <w:b/>
          <w:sz w:val="24"/>
        </w:rPr>
        <w:t>добросъседските отношения, регионалната стабилност </w:t>
      </w:r>
      <w:r>
        <w:rPr>
          <w:sz w:val="24"/>
        </w:rPr>
        <w:t>и взаимното сътрудничество. Това включва по-специално намирането и изпълнението на окончателни,</w:t>
      </w:r>
      <w:r>
        <w:rPr>
          <w:spacing w:val="-7"/>
          <w:sz w:val="24"/>
        </w:rPr>
        <w:t> </w:t>
      </w:r>
      <w:r>
        <w:rPr>
          <w:sz w:val="24"/>
        </w:rPr>
        <w:t>приобщаващи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обвързващи</w:t>
      </w:r>
      <w:r>
        <w:rPr>
          <w:spacing w:val="-3"/>
          <w:sz w:val="24"/>
        </w:rPr>
        <w:t> </w:t>
      </w:r>
      <w:r>
        <w:rPr>
          <w:sz w:val="24"/>
        </w:rPr>
        <w:t>решения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двустранните</w:t>
      </w:r>
      <w:r>
        <w:rPr>
          <w:spacing w:val="-5"/>
          <w:sz w:val="24"/>
        </w:rPr>
        <w:t> </w:t>
      </w:r>
      <w:r>
        <w:rPr>
          <w:sz w:val="24"/>
        </w:rPr>
        <w:t>им</w:t>
      </w:r>
      <w:r>
        <w:rPr>
          <w:spacing w:val="-5"/>
          <w:sz w:val="24"/>
        </w:rPr>
        <w:t> </w:t>
      </w:r>
      <w:r>
        <w:rPr>
          <w:sz w:val="24"/>
        </w:rPr>
        <w:t>спорове,</w:t>
      </w:r>
      <w:r>
        <w:rPr>
          <w:spacing w:val="-4"/>
          <w:sz w:val="24"/>
        </w:rPr>
        <w:t> </w:t>
      </w:r>
      <w:r>
        <w:rPr>
          <w:sz w:val="24"/>
        </w:rPr>
        <w:t>които се коренят в наследството от миналото, и полагането на допълнителни усилия за </w:t>
      </w:r>
      <w:r>
        <w:rPr>
          <w:spacing w:val="-2"/>
          <w:sz w:val="24"/>
        </w:rPr>
        <w:t>помирение.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12" w:lineRule="auto" w:before="127" w:after="0"/>
        <w:ind w:left="679" w:right="290" w:hanging="567"/>
        <w:jc w:val="left"/>
        <w:rPr>
          <w:sz w:val="24"/>
        </w:rPr>
      </w:pPr>
      <w:r>
        <w:rPr>
          <w:sz w:val="24"/>
        </w:rPr>
        <w:t>Създаването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тесни</w:t>
      </w:r>
      <w:r>
        <w:rPr>
          <w:spacing w:val="-1"/>
          <w:sz w:val="24"/>
        </w:rPr>
        <w:t> </w:t>
      </w:r>
      <w:r>
        <w:rPr>
          <w:sz w:val="24"/>
        </w:rPr>
        <w:t>връзки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възможности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рамките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региона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ЕС</w:t>
      </w:r>
      <w:r>
        <w:rPr>
          <w:spacing w:val="-2"/>
          <w:sz w:val="24"/>
        </w:rPr>
        <w:t> </w:t>
      </w:r>
      <w:r>
        <w:rPr>
          <w:sz w:val="24"/>
        </w:rPr>
        <w:t>е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основно значение за сближаването на гражданите и икономиките ни,</w:t>
      </w:r>
      <w:r>
        <w:rPr>
          <w:spacing w:val="-1"/>
          <w:sz w:val="24"/>
        </w:rPr>
        <w:t> </w:t>
      </w:r>
      <w:r>
        <w:rPr>
          <w:sz w:val="24"/>
        </w:rPr>
        <w:t>както</w:t>
      </w:r>
      <w:r>
        <w:rPr>
          <w:spacing w:val="-1"/>
          <w:sz w:val="24"/>
        </w:rPr>
        <w:t> </w:t>
      </w:r>
      <w:r>
        <w:rPr>
          <w:sz w:val="24"/>
        </w:rPr>
        <w:t>и за</w:t>
      </w:r>
      <w:r>
        <w:rPr>
          <w:spacing w:val="-2"/>
          <w:sz w:val="24"/>
        </w:rPr>
        <w:t> </w:t>
      </w:r>
      <w:r>
        <w:rPr>
          <w:sz w:val="24"/>
        </w:rPr>
        <w:t>подобряването на</w:t>
      </w:r>
      <w:r>
        <w:rPr>
          <w:spacing w:val="-5"/>
          <w:sz w:val="24"/>
        </w:rPr>
        <w:t> </w:t>
      </w:r>
      <w:r>
        <w:rPr>
          <w:sz w:val="24"/>
        </w:rPr>
        <w:t>политическата</w:t>
      </w:r>
      <w:r>
        <w:rPr>
          <w:spacing w:val="-5"/>
          <w:sz w:val="24"/>
        </w:rPr>
        <w:t> </w:t>
      </w:r>
      <w:r>
        <w:rPr>
          <w:sz w:val="24"/>
        </w:rPr>
        <w:t>стабилност,</w:t>
      </w:r>
      <w:r>
        <w:rPr>
          <w:spacing w:val="-4"/>
          <w:sz w:val="24"/>
        </w:rPr>
        <w:t> </w:t>
      </w:r>
      <w:r>
        <w:rPr>
          <w:sz w:val="24"/>
        </w:rPr>
        <w:t>икономическия</w:t>
      </w:r>
      <w:r>
        <w:rPr>
          <w:spacing w:val="-7"/>
          <w:sz w:val="24"/>
        </w:rPr>
        <w:t> </w:t>
      </w:r>
      <w:r>
        <w:rPr>
          <w:sz w:val="24"/>
        </w:rPr>
        <w:t>просперитет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културното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социалното развитие. Въз основа на постигнатия напредък, включително чрез регионални инициативи, се ангажираме да повишим значително </w:t>
      </w:r>
      <w:r>
        <w:rPr>
          <w:b/>
          <w:sz w:val="24"/>
        </w:rPr>
        <w:t>свързаността </w:t>
      </w:r>
      <w:r>
        <w:rPr>
          <w:sz w:val="24"/>
        </w:rPr>
        <w:t>във всичките ѝ измерения: в областта на транспорта и енергетиката, цифровата и икономическата сфера, както и между хората.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12" w:lineRule="auto" w:before="129" w:after="0"/>
        <w:ind w:left="679" w:right="364" w:hanging="567"/>
        <w:jc w:val="left"/>
        <w:rPr>
          <w:sz w:val="24"/>
        </w:rPr>
      </w:pPr>
      <w:r>
        <w:rPr>
          <w:sz w:val="24"/>
        </w:rPr>
        <w:t>ЕС</w:t>
      </w:r>
      <w:r>
        <w:rPr>
          <w:spacing w:val="-2"/>
          <w:sz w:val="24"/>
        </w:rPr>
        <w:t> </w:t>
      </w:r>
      <w:r>
        <w:rPr>
          <w:sz w:val="24"/>
        </w:rPr>
        <w:t>е</w:t>
      </w:r>
      <w:r>
        <w:rPr>
          <w:spacing w:val="-3"/>
          <w:sz w:val="24"/>
        </w:rPr>
        <w:t> </w:t>
      </w:r>
      <w:r>
        <w:rPr>
          <w:sz w:val="24"/>
        </w:rPr>
        <w:t>съгласен</w:t>
      </w:r>
      <w:r>
        <w:rPr>
          <w:spacing w:val="-1"/>
          <w:sz w:val="24"/>
        </w:rPr>
        <w:t> </w:t>
      </w:r>
      <w:r>
        <w:rPr>
          <w:sz w:val="24"/>
        </w:rPr>
        <w:t>да</w:t>
      </w:r>
      <w:r>
        <w:rPr>
          <w:spacing w:val="-3"/>
          <w:sz w:val="24"/>
        </w:rPr>
        <w:t> </w:t>
      </w:r>
      <w:r>
        <w:rPr>
          <w:sz w:val="24"/>
        </w:rPr>
        <w:t>насърчава</w:t>
      </w:r>
      <w:r>
        <w:rPr>
          <w:spacing w:val="-3"/>
          <w:sz w:val="24"/>
        </w:rPr>
        <w:t> </w:t>
      </w:r>
      <w:r>
        <w:rPr>
          <w:sz w:val="24"/>
        </w:rPr>
        <w:t>благоприятна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пазара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инвестициите</w:t>
      </w:r>
      <w:r>
        <w:rPr>
          <w:spacing w:val="-3"/>
          <w:sz w:val="24"/>
        </w:rPr>
        <w:t> </w:t>
      </w:r>
      <w:r>
        <w:rPr>
          <w:sz w:val="24"/>
        </w:rPr>
        <w:t>среда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Западните Балкани,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да</w:t>
      </w:r>
      <w:r>
        <w:rPr>
          <w:spacing w:val="-3"/>
          <w:sz w:val="24"/>
        </w:rPr>
        <w:t> </w:t>
      </w:r>
      <w:r>
        <w:rPr>
          <w:sz w:val="24"/>
        </w:rPr>
        <w:t>се</w:t>
      </w:r>
      <w:r>
        <w:rPr>
          <w:spacing w:val="-3"/>
          <w:sz w:val="24"/>
        </w:rPr>
        <w:t> </w:t>
      </w:r>
      <w:r>
        <w:rPr>
          <w:sz w:val="24"/>
        </w:rPr>
        <w:t>постигне</w:t>
      </w:r>
      <w:r>
        <w:rPr>
          <w:spacing w:val="-3"/>
          <w:sz w:val="24"/>
        </w:rPr>
        <w:t> </w:t>
      </w:r>
      <w:r>
        <w:rPr>
          <w:sz w:val="24"/>
        </w:rPr>
        <w:t>по-бърз</w:t>
      </w:r>
      <w:r>
        <w:rPr>
          <w:spacing w:val="-4"/>
          <w:sz w:val="24"/>
        </w:rPr>
        <w:t> </w:t>
      </w:r>
      <w:r>
        <w:rPr>
          <w:sz w:val="24"/>
        </w:rPr>
        <w:t>напредък</w:t>
      </w:r>
      <w:r>
        <w:rPr>
          <w:spacing w:val="-4"/>
          <w:sz w:val="24"/>
        </w:rPr>
        <w:t> </w:t>
      </w:r>
      <w:r>
        <w:rPr>
          <w:sz w:val="24"/>
        </w:rPr>
        <w:t>към</w:t>
      </w:r>
      <w:r>
        <w:rPr>
          <w:spacing w:val="-3"/>
          <w:sz w:val="24"/>
        </w:rPr>
        <w:t> </w:t>
      </w:r>
      <w:r>
        <w:rPr>
          <w:b/>
          <w:sz w:val="24"/>
        </w:rPr>
        <w:t>цифрова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икономика</w:t>
      </w:r>
      <w:r>
        <w:rPr>
          <w:b/>
          <w:spacing w:val="-2"/>
          <w:sz w:val="24"/>
        </w:rPr>
        <w:t> </w:t>
      </w:r>
      <w:r>
        <w:rPr>
          <w:sz w:val="24"/>
        </w:rPr>
        <w:t>и устойчиви</w:t>
      </w:r>
      <w:r>
        <w:rPr>
          <w:spacing w:val="-1"/>
          <w:sz w:val="24"/>
        </w:rPr>
        <w:t> </w:t>
      </w:r>
      <w:r>
        <w:rPr>
          <w:sz w:val="24"/>
        </w:rPr>
        <w:t>и </w:t>
      </w:r>
      <w:r>
        <w:rPr>
          <w:b/>
          <w:sz w:val="24"/>
        </w:rPr>
        <w:t>благоприятни за климата </w:t>
      </w:r>
      <w:r>
        <w:rPr>
          <w:sz w:val="24"/>
        </w:rPr>
        <w:t>общества в съответствие с Парижкото споразумение. </w:t>
      </w:r>
      <w:r>
        <w:rPr>
          <w:b/>
          <w:sz w:val="24"/>
        </w:rPr>
        <w:t>Енергийната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сигурност </w:t>
      </w:r>
      <w:r>
        <w:rPr>
          <w:sz w:val="24"/>
        </w:rPr>
        <w:t>ще</w:t>
      </w:r>
      <w:r>
        <w:rPr>
          <w:spacing w:val="-3"/>
          <w:sz w:val="24"/>
        </w:rPr>
        <w:t> </w:t>
      </w:r>
      <w:r>
        <w:rPr>
          <w:sz w:val="24"/>
        </w:rPr>
        <w:t>бъде</w:t>
      </w:r>
      <w:r>
        <w:rPr>
          <w:spacing w:val="-3"/>
          <w:sz w:val="24"/>
        </w:rPr>
        <w:t> </w:t>
      </w:r>
      <w:r>
        <w:rPr>
          <w:sz w:val="24"/>
        </w:rPr>
        <w:t>приоритет,</w:t>
      </w:r>
      <w:r>
        <w:rPr>
          <w:spacing w:val="-2"/>
          <w:sz w:val="24"/>
        </w:rPr>
        <w:t> </w:t>
      </w:r>
      <w:r>
        <w:rPr>
          <w:sz w:val="24"/>
        </w:rPr>
        <w:t>включително</w:t>
      </w:r>
      <w:r>
        <w:rPr>
          <w:spacing w:val="-2"/>
          <w:sz w:val="24"/>
        </w:rPr>
        <w:t> </w:t>
      </w:r>
      <w:r>
        <w:rPr>
          <w:sz w:val="24"/>
        </w:rPr>
        <w:t>чрез</w:t>
      </w:r>
      <w:r>
        <w:rPr>
          <w:spacing w:val="-4"/>
          <w:sz w:val="24"/>
        </w:rPr>
        <w:t> </w:t>
      </w:r>
      <w:r>
        <w:rPr>
          <w:sz w:val="24"/>
        </w:rPr>
        <w:t>подобрена</w:t>
      </w:r>
      <w:r>
        <w:rPr>
          <w:spacing w:val="-3"/>
          <w:sz w:val="24"/>
        </w:rPr>
        <w:t> </w:t>
      </w:r>
      <w:r>
        <w:rPr>
          <w:sz w:val="24"/>
        </w:rPr>
        <w:t>енергийна ефективност, по-добри трансгранични междусистемни връзки, диверсификация на източниците и маршрутите, както и балансиран енергиен микс, в който по-добре е интегрирана енергията от възобновяеми източници.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12" w:lineRule="auto" w:before="128" w:after="0"/>
        <w:ind w:left="679" w:right="909" w:hanging="567"/>
        <w:jc w:val="left"/>
        <w:rPr>
          <w:sz w:val="24"/>
        </w:rPr>
      </w:pPr>
      <w:r>
        <w:rPr>
          <w:sz w:val="24"/>
        </w:rPr>
        <w:t>Специално внимание ще бъде отделено на създаването на нови възможности за </w:t>
      </w:r>
      <w:r>
        <w:rPr>
          <w:b/>
          <w:sz w:val="24"/>
        </w:rPr>
        <w:t>младите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хора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като</w:t>
      </w:r>
      <w:r>
        <w:rPr>
          <w:spacing w:val="-3"/>
          <w:sz w:val="24"/>
        </w:rPr>
        <w:t> </w:t>
      </w:r>
      <w:r>
        <w:rPr>
          <w:sz w:val="24"/>
        </w:rPr>
        <w:t>същевременно</w:t>
      </w:r>
      <w:r>
        <w:rPr>
          <w:spacing w:val="-3"/>
          <w:sz w:val="24"/>
        </w:rPr>
        <w:t> </w:t>
      </w:r>
      <w:r>
        <w:rPr>
          <w:sz w:val="24"/>
        </w:rPr>
        <w:t>се</w:t>
      </w:r>
      <w:r>
        <w:rPr>
          <w:spacing w:val="-4"/>
          <w:sz w:val="24"/>
        </w:rPr>
        <w:t> </w:t>
      </w:r>
      <w:r>
        <w:rPr>
          <w:sz w:val="24"/>
        </w:rPr>
        <w:t>гарантира,</w:t>
      </w:r>
      <w:r>
        <w:rPr>
          <w:spacing w:val="-3"/>
          <w:sz w:val="24"/>
        </w:rPr>
        <w:t> </w:t>
      </w:r>
      <w:r>
        <w:rPr>
          <w:sz w:val="24"/>
        </w:rPr>
        <w:t>че</w:t>
      </w:r>
      <w:r>
        <w:rPr>
          <w:spacing w:val="-4"/>
          <w:sz w:val="24"/>
        </w:rPr>
        <w:t> </w:t>
      </w:r>
      <w:r>
        <w:rPr>
          <w:sz w:val="24"/>
        </w:rPr>
        <w:t>това</w:t>
      </w:r>
      <w:r>
        <w:rPr>
          <w:spacing w:val="-4"/>
          <w:sz w:val="24"/>
        </w:rPr>
        <w:t> </w:t>
      </w:r>
      <w:r>
        <w:rPr>
          <w:sz w:val="24"/>
        </w:rPr>
        <w:t>допринася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социално- икономическото развитие на Западните Балкани.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12" w:lineRule="auto" w:before="124" w:after="0"/>
        <w:ind w:left="679" w:right="366" w:hanging="567"/>
        <w:jc w:val="left"/>
        <w:rPr>
          <w:sz w:val="24"/>
        </w:rPr>
      </w:pPr>
      <w:r>
        <w:rPr>
          <w:sz w:val="24"/>
        </w:rPr>
        <w:t>За тази цел ЕС приветства ангажимента, поет от партньорите от Западните Балкани, наред с другото, да ускорят </w:t>
      </w:r>
      <w:r>
        <w:rPr>
          <w:b/>
          <w:sz w:val="24"/>
        </w:rPr>
        <w:t>прилагането на достиженията на правото </w:t>
      </w:r>
      <w:r>
        <w:rPr>
          <w:sz w:val="24"/>
        </w:rPr>
        <w:t>съгласно Договора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създаване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енергийна</w:t>
      </w:r>
      <w:r>
        <w:rPr>
          <w:spacing w:val="-4"/>
          <w:sz w:val="24"/>
        </w:rPr>
        <w:t> </w:t>
      </w:r>
      <w:r>
        <w:rPr>
          <w:sz w:val="24"/>
        </w:rPr>
        <w:t>общност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Договора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създаване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транспортна общност, да премахнат всички административни пречки на границите, да завършат изграждането на регионалния пазар на електроенергия и спешно да изпълнят многогодишния план за действие от юли 2017 г. за изграждането на регионално икономическо пространство. ЕС ще продължи да подкрепя тези усилия.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12" w:lineRule="auto" w:before="129" w:after="0"/>
        <w:ind w:left="679" w:right="161" w:hanging="567"/>
        <w:jc w:val="left"/>
        <w:rPr>
          <w:sz w:val="24"/>
        </w:rPr>
      </w:pPr>
      <w:r>
        <w:rPr>
          <w:sz w:val="24"/>
        </w:rPr>
        <w:t>ЕС и партньорите от Западните Балкани имат много общи </w:t>
      </w:r>
      <w:r>
        <w:rPr>
          <w:b/>
          <w:sz w:val="24"/>
        </w:rPr>
        <w:t>предизвикателства в областта на сигурността</w:t>
      </w:r>
      <w:r>
        <w:rPr>
          <w:sz w:val="24"/>
        </w:rPr>
        <w:t>, които изискват координирани индивидуални и колективни действия. Чрез съвместна работа можем да се справим ефективно с тези предизвикателства.</w:t>
      </w:r>
      <w:r>
        <w:rPr>
          <w:spacing w:val="-4"/>
          <w:sz w:val="24"/>
        </w:rPr>
        <w:t> </w:t>
      </w:r>
      <w:r>
        <w:rPr>
          <w:sz w:val="24"/>
        </w:rPr>
        <w:t>Сътрудничеството</w:t>
      </w:r>
      <w:r>
        <w:rPr>
          <w:spacing w:val="-4"/>
          <w:sz w:val="24"/>
        </w:rPr>
        <w:t> </w:t>
      </w:r>
      <w:r>
        <w:rPr>
          <w:sz w:val="24"/>
        </w:rPr>
        <w:t>ни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отношение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пресичането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незаконните </w:t>
      </w:r>
      <w:r>
        <w:rPr>
          <w:b/>
          <w:sz w:val="24"/>
        </w:rPr>
        <w:t>миграционни потоци </w:t>
      </w:r>
      <w:r>
        <w:rPr>
          <w:sz w:val="24"/>
        </w:rPr>
        <w:t>доказа стойността си и ще продължим да го развиваме.</w:t>
      </w:r>
    </w:p>
    <w:p>
      <w:pPr>
        <w:spacing w:after="0" w:line="312" w:lineRule="auto"/>
        <w:jc w:val="left"/>
        <w:rPr>
          <w:sz w:val="24"/>
        </w:rPr>
        <w:sectPr>
          <w:pgSz w:w="11910" w:h="16850"/>
          <w:pgMar w:header="0" w:footer="861" w:top="1120" w:bottom="1100" w:left="1020" w:right="1020"/>
        </w:sectPr>
      </w:pP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66" w:after="0"/>
        <w:ind w:left="679" w:right="946" w:hanging="567"/>
        <w:jc w:val="left"/>
        <w:rPr>
          <w:sz w:val="24"/>
        </w:rPr>
      </w:pPr>
      <w:r>
        <w:rPr>
          <w:sz w:val="24"/>
        </w:rPr>
        <w:t>За </w:t>
      </w:r>
      <w:r>
        <w:rPr>
          <w:b/>
          <w:sz w:val="24"/>
        </w:rPr>
        <w:t>борбата с тероризма и екстремизма</w:t>
      </w:r>
      <w:r>
        <w:rPr>
          <w:sz w:val="24"/>
        </w:rPr>
        <w:t>, включително </w:t>
      </w:r>
      <w:r>
        <w:rPr>
          <w:b/>
          <w:sz w:val="24"/>
        </w:rPr>
        <w:t>финансирането, радикализацията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sz w:val="24"/>
        </w:rPr>
        <w:t>връщането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чуждестранните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бойци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терористи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е</w:t>
      </w:r>
      <w:r>
        <w:rPr>
          <w:spacing w:val="-5"/>
          <w:sz w:val="24"/>
        </w:rPr>
        <w:t> </w:t>
      </w:r>
      <w:r>
        <w:rPr>
          <w:sz w:val="24"/>
        </w:rPr>
        <w:t>нужно засилено сътрудничество помежду ни.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21" w:after="0"/>
        <w:ind w:left="679" w:right="145" w:hanging="567"/>
        <w:jc w:val="left"/>
        <w:rPr>
          <w:b/>
          <w:sz w:val="24"/>
        </w:rPr>
      </w:pPr>
      <w:r>
        <w:rPr>
          <w:sz w:val="24"/>
        </w:rPr>
        <w:t>ЕС и партньорите от Западните Балкани признават, че резултатите в борбата с </w:t>
      </w:r>
      <w:r>
        <w:rPr>
          <w:b/>
          <w:sz w:val="24"/>
        </w:rPr>
        <w:t>корупцията и организираната престъпност </w:t>
      </w:r>
      <w:r>
        <w:rPr>
          <w:sz w:val="24"/>
        </w:rPr>
        <w:t>са от съществено значение за политическата и социално-икономическата трансформация на региона, както и за регионалната</w:t>
      </w:r>
      <w:r>
        <w:rPr>
          <w:spacing w:val="-5"/>
          <w:sz w:val="24"/>
        </w:rPr>
        <w:t> </w:t>
      </w:r>
      <w:r>
        <w:rPr>
          <w:sz w:val="24"/>
        </w:rPr>
        <w:t>стабилност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сигурност,</w:t>
      </w:r>
      <w:r>
        <w:rPr>
          <w:spacing w:val="-4"/>
          <w:sz w:val="24"/>
        </w:rPr>
        <w:t> </w:t>
      </w:r>
      <w:r>
        <w:rPr>
          <w:sz w:val="24"/>
        </w:rPr>
        <w:t>съответстващи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висшия</w:t>
      </w:r>
      <w:r>
        <w:rPr>
          <w:spacing w:val="-4"/>
          <w:sz w:val="24"/>
        </w:rPr>
        <w:t> </w:t>
      </w:r>
      <w:r>
        <w:rPr>
          <w:sz w:val="24"/>
        </w:rPr>
        <w:t>интерес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гражданите им. ЕС приветства ангажираността на партньорите за предприемане на решителни действия — в сътрудничество с ЕС и помежду им, срещу </w:t>
      </w:r>
      <w:r>
        <w:rPr>
          <w:b/>
          <w:sz w:val="24"/>
        </w:rPr>
        <w:t>трафика на хора, отглеждането на наркотици и контрабандата на хора, наркотици и оръжия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19" w:after="0"/>
        <w:ind w:left="679" w:right="330" w:hanging="567"/>
        <w:jc w:val="left"/>
        <w:rPr>
          <w:sz w:val="24"/>
        </w:rPr>
      </w:pPr>
      <w:r>
        <w:rPr>
          <w:sz w:val="24"/>
        </w:rPr>
        <w:t>ЕС приветства приноса на партньорите от Западните Балкани за общата външна политика и политика на сигурност (ОВППС) във всичките ѝ аспекти и очаква постепенно задълбочаване на сътрудничеството в тази област, особено по-голяма степен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хармонизиране,</w:t>
      </w:r>
      <w:r>
        <w:rPr>
          <w:spacing w:val="-4"/>
          <w:sz w:val="24"/>
        </w:rPr>
        <w:t> </w:t>
      </w:r>
      <w:r>
        <w:rPr>
          <w:sz w:val="24"/>
        </w:rPr>
        <w:t>по-специално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въпроси,</w:t>
      </w:r>
      <w:r>
        <w:rPr>
          <w:spacing w:val="-4"/>
          <w:sz w:val="24"/>
        </w:rPr>
        <w:t> </w:t>
      </w:r>
      <w:r>
        <w:rPr>
          <w:sz w:val="24"/>
        </w:rPr>
        <w:t>отнасящи</w:t>
      </w:r>
      <w:r>
        <w:rPr>
          <w:spacing w:val="-3"/>
          <w:sz w:val="24"/>
        </w:rPr>
        <w:t> </w:t>
      </w:r>
      <w:r>
        <w:rPr>
          <w:sz w:val="24"/>
        </w:rPr>
        <w:t>се</w:t>
      </w:r>
      <w:r>
        <w:rPr>
          <w:spacing w:val="-5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значителни</w:t>
      </w:r>
      <w:r>
        <w:rPr>
          <w:spacing w:val="-3"/>
          <w:sz w:val="24"/>
        </w:rPr>
        <w:t> </w:t>
      </w:r>
      <w:r>
        <w:rPr>
          <w:sz w:val="24"/>
        </w:rPr>
        <w:t>общи </w:t>
      </w:r>
      <w:r>
        <w:rPr>
          <w:spacing w:val="-2"/>
          <w:sz w:val="24"/>
        </w:rPr>
        <w:t>интереси.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22" w:after="0"/>
        <w:ind w:left="679" w:right="190" w:hanging="567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дезинформацията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други</w:t>
      </w:r>
      <w:r>
        <w:rPr>
          <w:spacing w:val="-3"/>
          <w:sz w:val="24"/>
        </w:rPr>
        <w:t> </w:t>
      </w:r>
      <w:r>
        <w:rPr>
          <w:sz w:val="24"/>
        </w:rPr>
        <w:t>хибридни</w:t>
      </w:r>
      <w:r>
        <w:rPr>
          <w:spacing w:val="-3"/>
          <w:sz w:val="24"/>
        </w:rPr>
        <w:t> </w:t>
      </w:r>
      <w:r>
        <w:rPr>
          <w:sz w:val="24"/>
        </w:rPr>
        <w:t>дейности</w:t>
      </w:r>
      <w:r>
        <w:rPr>
          <w:spacing w:val="-3"/>
          <w:sz w:val="24"/>
        </w:rPr>
        <w:t> </w:t>
      </w:r>
      <w:r>
        <w:rPr>
          <w:sz w:val="24"/>
        </w:rPr>
        <w:t>ще</w:t>
      </w:r>
      <w:r>
        <w:rPr>
          <w:spacing w:val="-5"/>
          <w:sz w:val="24"/>
        </w:rPr>
        <w:t> </w:t>
      </w:r>
      <w:r>
        <w:rPr>
          <w:sz w:val="24"/>
        </w:rPr>
        <w:t>се</w:t>
      </w:r>
      <w:r>
        <w:rPr>
          <w:spacing w:val="-5"/>
          <w:sz w:val="24"/>
        </w:rPr>
        <w:t> </w:t>
      </w:r>
      <w:r>
        <w:rPr>
          <w:sz w:val="24"/>
        </w:rPr>
        <w:t>борим</w:t>
      </w:r>
      <w:r>
        <w:rPr>
          <w:spacing w:val="-5"/>
          <w:sz w:val="24"/>
        </w:rPr>
        <w:t> </w:t>
      </w:r>
      <w:r>
        <w:rPr>
          <w:sz w:val="24"/>
        </w:rPr>
        <w:t>съвместно</w:t>
      </w:r>
      <w:r>
        <w:rPr>
          <w:spacing w:val="-4"/>
          <w:sz w:val="24"/>
        </w:rPr>
        <w:t> </w:t>
      </w:r>
      <w:r>
        <w:rPr>
          <w:sz w:val="24"/>
        </w:rPr>
        <w:t>чрез</w:t>
      </w:r>
      <w:r>
        <w:rPr>
          <w:spacing w:val="-3"/>
          <w:sz w:val="24"/>
        </w:rPr>
        <w:t> </w:t>
      </w:r>
      <w:r>
        <w:rPr>
          <w:sz w:val="24"/>
        </w:rPr>
        <w:t>по-голямо сътрудничество в областта на </w:t>
      </w:r>
      <w:r>
        <w:rPr>
          <w:b/>
          <w:sz w:val="24"/>
        </w:rPr>
        <w:t>устойчивостта, киберсигурността </w:t>
      </w:r>
      <w:r>
        <w:rPr>
          <w:sz w:val="24"/>
        </w:rPr>
        <w:t>и </w:t>
      </w:r>
      <w:r>
        <w:rPr>
          <w:b/>
          <w:sz w:val="24"/>
        </w:rPr>
        <w:t>стратегическата </w:t>
      </w:r>
      <w:r>
        <w:rPr>
          <w:b/>
          <w:spacing w:val="-2"/>
          <w:sz w:val="24"/>
        </w:rPr>
        <w:t>комуникация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19" w:after="0"/>
        <w:ind w:left="679" w:right="141" w:hanging="567"/>
        <w:jc w:val="left"/>
        <w:rPr>
          <w:sz w:val="24"/>
        </w:rPr>
      </w:pPr>
      <w:r>
        <w:rPr>
          <w:sz w:val="24"/>
        </w:rPr>
        <w:t>За да ускорим подобряването на живота на нашите граждани в областта на</w:t>
      </w:r>
      <w:r>
        <w:rPr>
          <w:spacing w:val="40"/>
          <w:sz w:val="24"/>
        </w:rPr>
        <w:t> </w:t>
      </w:r>
      <w:r>
        <w:rPr>
          <w:sz w:val="24"/>
        </w:rPr>
        <w:t>свързаността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сигурността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оглед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европейската</w:t>
      </w:r>
      <w:r>
        <w:rPr>
          <w:spacing w:val="-4"/>
          <w:sz w:val="24"/>
        </w:rPr>
        <w:t> </w:t>
      </w:r>
      <w:r>
        <w:rPr>
          <w:sz w:val="24"/>
        </w:rPr>
        <w:t>перспектива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Западните</w:t>
      </w:r>
      <w:r>
        <w:rPr>
          <w:spacing w:val="-4"/>
          <w:sz w:val="24"/>
        </w:rPr>
        <w:t> </w:t>
      </w:r>
      <w:r>
        <w:rPr>
          <w:sz w:val="24"/>
        </w:rPr>
        <w:t>Балкани, днес ЕС стартира приложената към настоящата декларация </w:t>
      </w:r>
      <w:r>
        <w:rPr>
          <w:b/>
          <w:sz w:val="24"/>
        </w:rPr>
        <w:t>приоритетна програма от София </w:t>
      </w:r>
      <w:r>
        <w:rPr>
          <w:sz w:val="24"/>
        </w:rPr>
        <w:t>за ЕС и Западните Балкани, стъпвайки на съответните аспекти от приетото на</w:t>
      </w:r>
    </w:p>
    <w:p>
      <w:pPr>
        <w:pStyle w:val="BodyText"/>
        <w:ind w:firstLine="0"/>
      </w:pPr>
      <w:r>
        <w:rPr/>
        <w:t>6</w:t>
      </w:r>
      <w:r>
        <w:rPr>
          <w:spacing w:val="-1"/>
        </w:rPr>
        <w:t> </w:t>
      </w:r>
      <w:r>
        <w:rPr/>
        <w:t>февруари 2018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съобщение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>
          <w:spacing w:val="-2"/>
        </w:rPr>
        <w:t>Комисията.</w:t>
      </w:r>
    </w:p>
    <w:p>
      <w:pPr>
        <w:pStyle w:val="BodyText"/>
        <w:spacing w:before="6"/>
        <w:ind w:left="0" w:firstLine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0" w:after="0"/>
        <w:ind w:left="679" w:right="217" w:hanging="567"/>
        <w:jc w:val="left"/>
        <w:rPr>
          <w:sz w:val="24"/>
        </w:rPr>
      </w:pPr>
      <w:r>
        <w:rPr>
          <w:sz w:val="24"/>
        </w:rPr>
        <w:t>ЕС</w:t>
      </w:r>
      <w:r>
        <w:rPr>
          <w:spacing w:val="-3"/>
          <w:sz w:val="24"/>
        </w:rPr>
        <w:t> </w:t>
      </w:r>
      <w:r>
        <w:rPr>
          <w:sz w:val="24"/>
        </w:rPr>
        <w:t>приветства</w:t>
      </w:r>
      <w:r>
        <w:rPr>
          <w:spacing w:val="-4"/>
          <w:sz w:val="24"/>
        </w:rPr>
        <w:t> </w:t>
      </w:r>
      <w:r>
        <w:rPr>
          <w:sz w:val="24"/>
        </w:rPr>
        <w:t>намерението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Хърватия</w:t>
      </w:r>
      <w:r>
        <w:rPr>
          <w:spacing w:val="-3"/>
          <w:sz w:val="24"/>
        </w:rPr>
        <w:t> </w:t>
      </w:r>
      <w:r>
        <w:rPr>
          <w:sz w:val="24"/>
        </w:rPr>
        <w:t>да</w:t>
      </w:r>
      <w:r>
        <w:rPr>
          <w:spacing w:val="-4"/>
          <w:sz w:val="24"/>
        </w:rPr>
        <w:t> </w:t>
      </w:r>
      <w:r>
        <w:rPr>
          <w:sz w:val="24"/>
        </w:rPr>
        <w:t>бъде</w:t>
      </w:r>
      <w:r>
        <w:rPr>
          <w:spacing w:val="-4"/>
          <w:sz w:val="24"/>
        </w:rPr>
        <w:t> </w:t>
      </w:r>
      <w:r>
        <w:rPr>
          <w:sz w:val="24"/>
        </w:rPr>
        <w:t>домакин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среща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върха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-7"/>
          <w:sz w:val="24"/>
        </w:rPr>
        <w:t> </w:t>
      </w:r>
      <w:r>
        <w:rPr>
          <w:sz w:val="24"/>
        </w:rPr>
        <w:t>ЕС и Западните Балкани по време на председателството си през 2020 г.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360" w:lineRule="auto" w:before="120" w:after="0"/>
        <w:ind w:left="679" w:right="208" w:hanging="567"/>
        <w:jc w:val="left"/>
        <w:rPr>
          <w:sz w:val="24"/>
        </w:rPr>
      </w:pPr>
      <w:r>
        <w:rPr>
          <w:sz w:val="24"/>
        </w:rPr>
        <w:t>Отбелязваме,</w:t>
      </w:r>
      <w:r>
        <w:rPr>
          <w:spacing w:val="-3"/>
          <w:sz w:val="24"/>
        </w:rPr>
        <w:t> </w:t>
      </w:r>
      <w:r>
        <w:rPr>
          <w:sz w:val="24"/>
        </w:rPr>
        <w:t>че</w:t>
      </w:r>
      <w:r>
        <w:rPr>
          <w:spacing w:val="-4"/>
          <w:sz w:val="24"/>
        </w:rPr>
        <w:t> </w:t>
      </w:r>
      <w:r>
        <w:rPr>
          <w:sz w:val="24"/>
        </w:rPr>
        <w:t>нашите</w:t>
      </w:r>
      <w:r>
        <w:rPr>
          <w:spacing w:val="-4"/>
          <w:sz w:val="24"/>
        </w:rPr>
        <w:t> </w:t>
      </w:r>
      <w:r>
        <w:rPr>
          <w:sz w:val="24"/>
        </w:rPr>
        <w:t>партньори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Западните</w:t>
      </w:r>
      <w:r>
        <w:rPr>
          <w:spacing w:val="-4"/>
          <w:sz w:val="24"/>
        </w:rPr>
        <w:t> </w:t>
      </w:r>
      <w:r>
        <w:rPr>
          <w:sz w:val="24"/>
        </w:rPr>
        <w:t>Балкани</w:t>
      </w:r>
      <w:r>
        <w:rPr>
          <w:spacing w:val="-2"/>
          <w:sz w:val="24"/>
        </w:rPr>
        <w:t> </w:t>
      </w:r>
      <w:r>
        <w:rPr>
          <w:sz w:val="24"/>
        </w:rPr>
        <w:t>са</w:t>
      </w:r>
      <w:r>
        <w:rPr>
          <w:spacing w:val="-4"/>
          <w:sz w:val="24"/>
        </w:rPr>
        <w:t> </w:t>
      </w:r>
      <w:r>
        <w:rPr>
          <w:sz w:val="24"/>
        </w:rPr>
        <w:t>съгласни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изложените</w:t>
      </w:r>
      <w:r>
        <w:rPr>
          <w:spacing w:val="-7"/>
          <w:sz w:val="24"/>
        </w:rPr>
        <w:t> </w:t>
      </w:r>
      <w:r>
        <w:rPr>
          <w:sz w:val="24"/>
        </w:rPr>
        <w:t>по- горе точки.</w:t>
      </w:r>
    </w:p>
    <w:p>
      <w:pPr>
        <w:spacing w:after="0" w:line="360" w:lineRule="auto"/>
        <w:jc w:val="left"/>
        <w:rPr>
          <w:sz w:val="24"/>
        </w:rPr>
        <w:sectPr>
          <w:pgSz w:w="11910" w:h="16850"/>
          <w:pgMar w:header="0" w:footer="861" w:top="1180" w:bottom="1100" w:left="1020" w:right="1020"/>
        </w:sectPr>
      </w:pPr>
    </w:p>
    <w:p>
      <w:pPr>
        <w:pStyle w:val="Heading1"/>
        <w:spacing w:line="360" w:lineRule="auto" w:before="71"/>
        <w:ind w:left="3115" w:firstLine="3180"/>
        <w:rPr>
          <w:u w:val="none"/>
        </w:rPr>
      </w:pPr>
      <w:r>
        <w:rPr>
          <w:u w:val="thick"/>
        </w:rPr>
        <w:t>Приложение</w:t>
      </w:r>
      <w:r>
        <w:rPr>
          <w:spacing w:val="-15"/>
          <w:u w:val="thick"/>
        </w:rPr>
        <w:t> </w:t>
      </w:r>
      <w:r>
        <w:rPr>
          <w:u w:val="thick"/>
        </w:rPr>
        <w:t>към</w:t>
      </w:r>
      <w:r>
        <w:rPr>
          <w:spacing w:val="-15"/>
          <w:u w:val="thick"/>
        </w:rPr>
        <w:t> </w:t>
      </w:r>
      <w:r>
        <w:rPr>
          <w:u w:val="thick"/>
        </w:rPr>
        <w:t>декларацията</w:t>
      </w:r>
      <w:r>
        <w:rPr>
          <w:u w:val="none"/>
        </w:rPr>
        <w:t> </w:t>
      </w:r>
      <w:bookmarkStart w:name="Приоритетна програма от София" w:id="1"/>
      <w:bookmarkEnd w:id="1"/>
      <w:r>
        <w:rPr>
          <w:u w:val="none"/>
        </w:rPr>
      </w:r>
      <w:r>
        <w:rPr>
          <w:u w:val="thick"/>
        </w:rPr>
        <w:t>Приоритетна програма от София</w:t>
      </w:r>
    </w:p>
    <w:p>
      <w:pPr>
        <w:pStyle w:val="BodyText"/>
        <w:ind w:left="0" w:firstLine="0"/>
        <w:rPr>
          <w:b/>
          <w:sz w:val="13"/>
        </w:rPr>
      </w:pPr>
    </w:p>
    <w:p>
      <w:pPr>
        <w:spacing w:before="90"/>
        <w:ind w:left="11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Засилване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подкрепата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за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принципите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на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правовата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държава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доброто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управление</w:t>
      </w:r>
    </w:p>
    <w:p>
      <w:pPr>
        <w:pStyle w:val="BodyText"/>
        <w:spacing w:before="4"/>
        <w:ind w:left="0" w:firstLine="0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0" w:after="0"/>
        <w:ind w:left="679" w:right="455" w:hanging="567"/>
        <w:jc w:val="left"/>
        <w:rPr>
          <w:sz w:val="24"/>
        </w:rPr>
      </w:pPr>
      <w:r>
        <w:rPr>
          <w:sz w:val="24"/>
        </w:rPr>
        <w:t>Засилване на подкрепата за съдебната реформа и усилията за борба с корупцията и организираната</w:t>
      </w:r>
      <w:r>
        <w:rPr>
          <w:spacing w:val="-4"/>
          <w:sz w:val="24"/>
        </w:rPr>
        <w:t> </w:t>
      </w:r>
      <w:r>
        <w:rPr>
          <w:sz w:val="24"/>
        </w:rPr>
        <w:t>престъпност,</w:t>
      </w:r>
      <w:r>
        <w:rPr>
          <w:spacing w:val="-3"/>
          <w:sz w:val="24"/>
        </w:rPr>
        <w:t> </w:t>
      </w:r>
      <w:r>
        <w:rPr>
          <w:sz w:val="24"/>
        </w:rPr>
        <w:t>включително</w:t>
      </w:r>
      <w:r>
        <w:rPr>
          <w:spacing w:val="-6"/>
          <w:sz w:val="24"/>
        </w:rPr>
        <w:t> </w:t>
      </w:r>
      <w:r>
        <w:rPr>
          <w:sz w:val="24"/>
        </w:rPr>
        <w:t>изграждане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капацитет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превенция</w:t>
      </w:r>
      <w:r>
        <w:rPr>
          <w:spacing w:val="-4"/>
          <w:sz w:val="24"/>
        </w:rPr>
        <w:t> </w:t>
      </w:r>
      <w:r>
        <w:rPr>
          <w:sz w:val="24"/>
        </w:rPr>
        <w:t>на </w:t>
      </w:r>
      <w:r>
        <w:rPr>
          <w:spacing w:val="-2"/>
          <w:sz w:val="24"/>
        </w:rPr>
        <w:t>корупцията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3" w:after="0"/>
        <w:ind w:left="679" w:right="688" w:hanging="567"/>
        <w:jc w:val="left"/>
        <w:rPr>
          <w:sz w:val="24"/>
        </w:rPr>
      </w:pPr>
      <w:r>
        <w:rPr>
          <w:sz w:val="24"/>
        </w:rPr>
        <w:t>Разширяване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консултативните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мисии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сферата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правовата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държава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> </w:t>
      </w:r>
      <w:r>
        <w:rPr>
          <w:sz w:val="24"/>
        </w:rPr>
        <w:t>по- голямо подпомагане от държавите членки и от ЕС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7" w:lineRule="auto" w:before="130" w:after="0"/>
        <w:ind w:left="679" w:right="183" w:hanging="567"/>
        <w:jc w:val="left"/>
        <w:rPr>
          <w:b/>
          <w:sz w:val="24"/>
        </w:rPr>
      </w:pPr>
      <w:r>
        <w:rPr>
          <w:sz w:val="24"/>
        </w:rPr>
        <w:t>Засилване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мониторинга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реформите</w:t>
      </w:r>
      <w:r>
        <w:rPr>
          <w:spacing w:val="-5"/>
          <w:sz w:val="24"/>
        </w:rPr>
        <w:t> </w:t>
      </w:r>
      <w:r>
        <w:rPr>
          <w:sz w:val="24"/>
        </w:rPr>
        <w:t>чрез</w:t>
      </w:r>
      <w:r>
        <w:rPr>
          <w:spacing w:val="-3"/>
          <w:sz w:val="24"/>
        </w:rPr>
        <w:t> </w:t>
      </w:r>
      <w:r>
        <w:rPr>
          <w:sz w:val="24"/>
        </w:rPr>
        <w:t>по-систематични</w:t>
      </w:r>
      <w:r>
        <w:rPr>
          <w:spacing w:val="-3"/>
          <w:sz w:val="24"/>
        </w:rPr>
        <w:t> </w:t>
      </w:r>
      <w:r>
        <w:rPr>
          <w:b/>
          <w:sz w:val="24"/>
        </w:rPr>
        <w:t>мисии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партньорски проверки по конкретни случаи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5" w:after="0"/>
        <w:ind w:left="679" w:right="452" w:hanging="567"/>
        <w:jc w:val="left"/>
        <w:rPr>
          <w:sz w:val="24"/>
        </w:rPr>
      </w:pPr>
      <w:r>
        <w:rPr>
          <w:sz w:val="24"/>
        </w:rPr>
        <w:t>Въвеждане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мониторинг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съдебните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процеси</w:t>
      </w:r>
      <w:r>
        <w:rPr>
          <w:b/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областта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тежката</w:t>
      </w:r>
      <w:r>
        <w:rPr>
          <w:spacing w:val="-4"/>
          <w:sz w:val="24"/>
        </w:rPr>
        <w:t> </w:t>
      </w:r>
      <w:r>
        <w:rPr>
          <w:sz w:val="24"/>
        </w:rPr>
        <w:t>корупция</w:t>
      </w:r>
      <w:r>
        <w:rPr>
          <w:spacing w:val="-3"/>
          <w:sz w:val="24"/>
        </w:rPr>
        <w:t> </w:t>
      </w:r>
      <w:r>
        <w:rPr>
          <w:sz w:val="24"/>
        </w:rPr>
        <w:t>и организираната престъпност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240" w:lineRule="auto" w:before="131" w:after="0"/>
        <w:ind w:left="679" w:right="0" w:hanging="56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по-добро</w:t>
      </w:r>
      <w:r>
        <w:rPr>
          <w:spacing w:val="-1"/>
          <w:sz w:val="24"/>
        </w:rPr>
        <w:t> </w:t>
      </w:r>
      <w:r>
        <w:rPr>
          <w:sz w:val="24"/>
        </w:rPr>
        <w:t>измерване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резултатите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съдебната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реформа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203" w:after="0"/>
        <w:ind w:left="679" w:right="294" w:hanging="567"/>
        <w:jc w:val="left"/>
        <w:rPr>
          <w:b/>
          <w:sz w:val="24"/>
        </w:rPr>
      </w:pPr>
      <w:r>
        <w:rPr>
          <w:sz w:val="24"/>
        </w:rPr>
        <w:t>Поетапно</w:t>
      </w:r>
      <w:r>
        <w:rPr>
          <w:spacing w:val="-3"/>
          <w:sz w:val="24"/>
        </w:rPr>
        <w:t> </w:t>
      </w:r>
      <w:r>
        <w:rPr>
          <w:sz w:val="24"/>
        </w:rPr>
        <w:t>предоставяне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подкрепа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Западните</w:t>
      </w:r>
      <w:r>
        <w:rPr>
          <w:spacing w:val="-4"/>
          <w:sz w:val="24"/>
        </w:rPr>
        <w:t> </w:t>
      </w:r>
      <w:r>
        <w:rPr>
          <w:sz w:val="24"/>
        </w:rPr>
        <w:t>Балкани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областта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независимите и плуралистични медии и гражданското общество чрез </w:t>
      </w:r>
      <w:r>
        <w:rPr>
          <w:b/>
          <w:sz w:val="24"/>
        </w:rPr>
        <w:t>Европейския фонд за </w:t>
      </w:r>
      <w:r>
        <w:rPr>
          <w:b/>
          <w:spacing w:val="-2"/>
          <w:sz w:val="24"/>
        </w:rPr>
        <w:t>демокрация</w:t>
      </w:r>
    </w:p>
    <w:p>
      <w:pPr>
        <w:pStyle w:val="Heading1"/>
        <w:spacing w:before="123"/>
        <w:rPr>
          <w:u w:val="none"/>
        </w:rPr>
      </w:pPr>
      <w:r>
        <w:rPr>
          <w:u w:val="thick"/>
        </w:rPr>
        <w:t>Засилване</w:t>
      </w:r>
      <w:r>
        <w:rPr>
          <w:spacing w:val="-5"/>
          <w:u w:val="thick"/>
        </w:rPr>
        <w:t> </w:t>
      </w:r>
      <w:r>
        <w:rPr>
          <w:u w:val="thick"/>
        </w:rPr>
        <w:t>на</w:t>
      </w:r>
      <w:r>
        <w:rPr>
          <w:spacing w:val="-1"/>
          <w:u w:val="thick"/>
        </w:rPr>
        <w:t> </w:t>
      </w:r>
      <w:r>
        <w:rPr>
          <w:u w:val="thick"/>
        </w:rPr>
        <w:t>ангажимента</w:t>
      </w:r>
      <w:r>
        <w:rPr>
          <w:spacing w:val="-1"/>
          <w:u w:val="thick"/>
        </w:rPr>
        <w:t> </w:t>
      </w:r>
      <w:r>
        <w:rPr>
          <w:u w:val="thick"/>
        </w:rPr>
        <w:t>в</w:t>
      </w:r>
      <w:r>
        <w:rPr>
          <w:spacing w:val="-2"/>
          <w:u w:val="thick"/>
        </w:rPr>
        <w:t> </w:t>
      </w:r>
      <w:r>
        <w:rPr>
          <w:u w:val="thick"/>
        </w:rPr>
        <w:t>областта</w:t>
      </w:r>
      <w:r>
        <w:rPr>
          <w:spacing w:val="-2"/>
          <w:u w:val="thick"/>
        </w:rPr>
        <w:t> </w:t>
      </w:r>
      <w:r>
        <w:rPr>
          <w:u w:val="thick"/>
        </w:rPr>
        <w:t>на</w:t>
      </w:r>
      <w:r>
        <w:rPr>
          <w:spacing w:val="-1"/>
          <w:u w:val="thick"/>
        </w:rPr>
        <w:t> </w:t>
      </w:r>
      <w:r>
        <w:rPr>
          <w:u w:val="thick"/>
        </w:rPr>
        <w:t>сигурността</w:t>
      </w:r>
      <w:r>
        <w:rPr>
          <w:spacing w:val="-1"/>
          <w:u w:val="thick"/>
        </w:rPr>
        <w:t> </w:t>
      </w:r>
      <w:r>
        <w:rPr>
          <w:u w:val="thick"/>
        </w:rPr>
        <w:t>и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миграцията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201" w:after="0"/>
        <w:ind w:left="679" w:right="138" w:hanging="567"/>
        <w:jc w:val="left"/>
        <w:rPr>
          <w:sz w:val="24"/>
        </w:rPr>
      </w:pPr>
      <w:r>
        <w:rPr>
          <w:sz w:val="24"/>
        </w:rPr>
        <w:t>Активизиране на съвместната работа за </w:t>
      </w:r>
      <w:r>
        <w:rPr>
          <w:b/>
          <w:sz w:val="24"/>
        </w:rPr>
        <w:t>борба с тероризма </w:t>
      </w:r>
      <w:r>
        <w:rPr>
          <w:sz w:val="24"/>
        </w:rPr>
        <w:t>и предотвратяване на радикализацията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насилствения</w:t>
      </w:r>
      <w:r>
        <w:rPr>
          <w:spacing w:val="-3"/>
          <w:sz w:val="24"/>
        </w:rPr>
        <w:t> </w:t>
      </w:r>
      <w:r>
        <w:rPr>
          <w:sz w:val="24"/>
        </w:rPr>
        <w:t>екстремизъм,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съгласуваност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инициативата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борба с тероризма в Западните Балкани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21" w:after="0"/>
        <w:ind w:left="679" w:right="311" w:hanging="567"/>
        <w:jc w:val="left"/>
        <w:rPr>
          <w:sz w:val="24"/>
        </w:rPr>
      </w:pPr>
      <w:r>
        <w:rPr>
          <w:sz w:val="24"/>
        </w:rPr>
        <w:t>Значително</w:t>
      </w:r>
      <w:r>
        <w:rPr>
          <w:spacing w:val="-4"/>
          <w:sz w:val="24"/>
        </w:rPr>
        <w:t> </w:t>
      </w:r>
      <w:r>
        <w:rPr>
          <w:sz w:val="24"/>
        </w:rPr>
        <w:t>засилване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b/>
          <w:sz w:val="24"/>
        </w:rPr>
        <w:t>оперативното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сътрудничество</w:t>
      </w:r>
      <w:r>
        <w:rPr>
          <w:b/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борбата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международната </w:t>
      </w:r>
      <w:r>
        <w:rPr>
          <w:b/>
          <w:sz w:val="24"/>
        </w:rPr>
        <w:t>организирана престъпност </w:t>
      </w:r>
      <w:r>
        <w:rPr>
          <w:sz w:val="24"/>
        </w:rPr>
        <w:t>в приоритетни области като огнестрелни оръжия, наркотици, контрабанда на мигранти и трафик на хора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23" w:after="0"/>
        <w:ind w:left="679" w:right="215" w:hanging="567"/>
        <w:jc w:val="left"/>
        <w:rPr>
          <w:sz w:val="24"/>
        </w:rPr>
      </w:pPr>
      <w:r>
        <w:rPr>
          <w:sz w:val="24"/>
        </w:rPr>
        <w:t>Изготвяне на обновен план за действие за сътрудничеството в областта на </w:t>
      </w:r>
      <w:r>
        <w:rPr>
          <w:b/>
          <w:sz w:val="24"/>
        </w:rPr>
        <w:t>огнестрелното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оръжие</w:t>
      </w:r>
      <w:r>
        <w:rPr>
          <w:b/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цел</w:t>
      </w:r>
      <w:r>
        <w:rPr>
          <w:spacing w:val="-3"/>
          <w:sz w:val="24"/>
        </w:rPr>
        <w:t> </w:t>
      </w:r>
      <w:r>
        <w:rPr>
          <w:sz w:val="24"/>
        </w:rPr>
        <w:t>по-ефективна</w:t>
      </w:r>
      <w:r>
        <w:rPr>
          <w:spacing w:val="-4"/>
          <w:sz w:val="24"/>
        </w:rPr>
        <w:t> </w:t>
      </w:r>
      <w:r>
        <w:rPr>
          <w:sz w:val="24"/>
        </w:rPr>
        <w:t>борба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незаконните</w:t>
      </w:r>
      <w:r>
        <w:rPr>
          <w:spacing w:val="-4"/>
          <w:sz w:val="24"/>
        </w:rPr>
        <w:t> </w:t>
      </w:r>
      <w:r>
        <w:rPr>
          <w:sz w:val="24"/>
        </w:rPr>
        <w:t>огнестрелни</w:t>
      </w:r>
      <w:r>
        <w:rPr>
          <w:spacing w:val="-2"/>
          <w:sz w:val="24"/>
        </w:rPr>
        <w:t> </w:t>
      </w:r>
      <w:r>
        <w:rPr>
          <w:sz w:val="24"/>
        </w:rPr>
        <w:t>оръжия</w:t>
      </w:r>
      <w:r>
        <w:rPr>
          <w:spacing w:val="-6"/>
          <w:sz w:val="24"/>
        </w:rPr>
        <w:t> </w:t>
      </w:r>
      <w:r>
        <w:rPr>
          <w:sz w:val="24"/>
        </w:rPr>
        <w:t>и големите запаси от оръжия</w:t>
      </w:r>
    </w:p>
    <w:p>
      <w:pPr>
        <w:spacing w:after="0" w:line="309" w:lineRule="auto"/>
        <w:jc w:val="left"/>
        <w:rPr>
          <w:sz w:val="24"/>
        </w:rPr>
        <w:sectPr>
          <w:pgSz w:w="11910" w:h="16850"/>
          <w:pgMar w:header="0" w:footer="861" w:top="1060" w:bottom="1100" w:left="1020" w:right="1020"/>
        </w:sectPr>
      </w:pP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88" w:after="0"/>
        <w:ind w:left="679" w:right="147" w:hanging="567"/>
        <w:jc w:val="left"/>
        <w:rPr>
          <w:sz w:val="24"/>
        </w:rPr>
      </w:pPr>
      <w:r>
        <w:rPr>
          <w:sz w:val="24"/>
        </w:rPr>
        <w:t>Увеличаване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подкрепата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изграждане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капацитет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областта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киберсигурността и борбата с киберпрестъпността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7" w:lineRule="auto" w:before="133" w:after="0"/>
        <w:ind w:left="679" w:right="1073" w:hanging="567"/>
        <w:jc w:val="left"/>
        <w:rPr>
          <w:b/>
          <w:sz w:val="24"/>
        </w:rPr>
      </w:pPr>
      <w:r>
        <w:rPr>
          <w:sz w:val="24"/>
        </w:rPr>
        <w:t>Засилване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сътрудничеството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областта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миграцията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управлението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на </w:t>
      </w:r>
      <w:r>
        <w:rPr>
          <w:b/>
          <w:spacing w:val="-2"/>
          <w:sz w:val="24"/>
        </w:rPr>
        <w:t>границите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25" w:after="0"/>
        <w:ind w:left="679" w:right="714" w:hanging="567"/>
        <w:jc w:val="left"/>
        <w:rPr>
          <w:sz w:val="24"/>
        </w:rPr>
      </w:pPr>
      <w:r>
        <w:rPr>
          <w:sz w:val="24"/>
        </w:rPr>
        <w:t>Допълнително засилване на сътрудничеството между </w:t>
      </w:r>
      <w:r>
        <w:rPr>
          <w:b/>
          <w:sz w:val="24"/>
        </w:rPr>
        <w:t>служителите за връзка</w:t>
      </w:r>
      <w:r>
        <w:rPr>
          <w:sz w:val="24"/>
        </w:rPr>
        <w:t>, разположени от ЕС (Европейската комисия и</w:t>
      </w:r>
      <w:r>
        <w:rPr>
          <w:spacing w:val="-1"/>
          <w:sz w:val="24"/>
        </w:rPr>
        <w:t> </w:t>
      </w:r>
      <w:r>
        <w:rPr>
          <w:sz w:val="24"/>
        </w:rPr>
        <w:t>Европейската агенция за гранична и брегова</w:t>
      </w:r>
      <w:r>
        <w:rPr>
          <w:spacing w:val="-5"/>
          <w:sz w:val="24"/>
        </w:rPr>
        <w:t> </w:t>
      </w:r>
      <w:r>
        <w:rPr>
          <w:sz w:val="24"/>
        </w:rPr>
        <w:t>охрана),</w:t>
      </w:r>
      <w:r>
        <w:rPr>
          <w:spacing w:val="-4"/>
          <w:sz w:val="24"/>
        </w:rPr>
        <w:t> </w:t>
      </w:r>
      <w:r>
        <w:rPr>
          <w:sz w:val="24"/>
        </w:rPr>
        <w:t>държавите</w:t>
      </w:r>
      <w:r>
        <w:rPr>
          <w:spacing w:val="-5"/>
          <w:sz w:val="24"/>
        </w:rPr>
        <w:t> </w:t>
      </w:r>
      <w:r>
        <w:rPr>
          <w:sz w:val="24"/>
        </w:rPr>
        <w:t>членки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компетентните</w:t>
      </w:r>
      <w:r>
        <w:rPr>
          <w:spacing w:val="-5"/>
          <w:sz w:val="24"/>
        </w:rPr>
        <w:t> </w:t>
      </w:r>
      <w:r>
        <w:rPr>
          <w:sz w:val="24"/>
        </w:rPr>
        <w:t>органи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Западните</w:t>
      </w:r>
      <w:r>
        <w:rPr>
          <w:spacing w:val="-5"/>
          <w:sz w:val="24"/>
        </w:rPr>
        <w:t> </w:t>
      </w:r>
      <w:r>
        <w:rPr>
          <w:sz w:val="24"/>
        </w:rPr>
        <w:t>Балкани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0" w:after="0"/>
        <w:ind w:left="679" w:right="367" w:hanging="567"/>
        <w:jc w:val="left"/>
        <w:rPr>
          <w:sz w:val="24"/>
        </w:rPr>
      </w:pPr>
      <w:r>
        <w:rPr>
          <w:sz w:val="24"/>
        </w:rPr>
        <w:t>Създаване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b/>
          <w:sz w:val="24"/>
        </w:rPr>
        <w:t>междуведомствена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специална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група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ЕС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въпросите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 ПВР</w:t>
      </w:r>
      <w:r>
        <w:rPr>
          <w:sz w:val="24"/>
        </w:rPr>
        <w:t>, координирана от Комисията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33" w:after="0"/>
        <w:ind w:left="679" w:right="617" w:hanging="567"/>
        <w:jc w:val="left"/>
        <w:rPr>
          <w:b/>
          <w:sz w:val="24"/>
        </w:rPr>
      </w:pPr>
      <w:r>
        <w:rPr>
          <w:sz w:val="24"/>
        </w:rPr>
        <w:t>Задълбочаване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разширяване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сътрудничеството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диалога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същество</w:t>
      </w:r>
      <w:r>
        <w:rPr>
          <w:spacing w:val="-4"/>
          <w:sz w:val="24"/>
        </w:rPr>
        <w:t> </w:t>
      </w:r>
      <w:r>
        <w:rPr>
          <w:sz w:val="24"/>
        </w:rPr>
        <w:t>относно </w:t>
      </w:r>
      <w:r>
        <w:rPr>
          <w:b/>
          <w:sz w:val="24"/>
        </w:rPr>
        <w:t>Общата външна политика и политика на сигурност/Общата политика за сигурност и отбрана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21" w:after="0"/>
        <w:ind w:left="679" w:right="827" w:hanging="567"/>
        <w:jc w:val="left"/>
        <w:rPr>
          <w:sz w:val="24"/>
        </w:rPr>
      </w:pPr>
      <w:r>
        <w:rPr>
          <w:sz w:val="24"/>
        </w:rPr>
        <w:t>По-нататъшно</w:t>
      </w:r>
      <w:r>
        <w:rPr>
          <w:spacing w:val="-3"/>
          <w:sz w:val="24"/>
        </w:rPr>
        <w:t> </w:t>
      </w: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сътрудничеството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линия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дейностите,</w:t>
      </w:r>
      <w:r>
        <w:rPr>
          <w:spacing w:val="-6"/>
          <w:sz w:val="24"/>
        </w:rPr>
        <w:t> </w:t>
      </w:r>
      <w:r>
        <w:rPr>
          <w:sz w:val="24"/>
        </w:rPr>
        <w:t>свързани</w:t>
      </w:r>
      <w:r>
        <w:rPr>
          <w:spacing w:val="-3"/>
          <w:sz w:val="24"/>
        </w:rPr>
        <w:t> </w:t>
      </w:r>
      <w:r>
        <w:rPr>
          <w:sz w:val="24"/>
        </w:rPr>
        <w:t>с </w:t>
      </w:r>
      <w:r>
        <w:rPr>
          <w:b/>
          <w:sz w:val="24"/>
        </w:rPr>
        <w:t>хибридните заплахи</w:t>
      </w:r>
      <w:r>
        <w:rPr>
          <w:sz w:val="24"/>
        </w:rPr>
        <w:t>, включително посредством засилване на стратегическата </w:t>
      </w:r>
      <w:r>
        <w:rPr>
          <w:spacing w:val="-2"/>
          <w:sz w:val="24"/>
        </w:rPr>
        <w:t>комуникация</w:t>
      </w:r>
    </w:p>
    <w:p>
      <w:pPr>
        <w:pStyle w:val="Heading1"/>
        <w:spacing w:line="312" w:lineRule="auto" w:before="126"/>
        <w:ind w:right="143"/>
        <w:rPr>
          <w:u w:val="none"/>
        </w:rPr>
      </w:pPr>
      <w:r>
        <w:rPr>
          <w:u w:val="thick"/>
        </w:rPr>
        <w:t>Подкрепа</w:t>
      </w:r>
      <w:r>
        <w:rPr>
          <w:spacing w:val="-4"/>
          <w:u w:val="thick"/>
        </w:rPr>
        <w:t> </w:t>
      </w:r>
      <w:r>
        <w:rPr>
          <w:u w:val="thick"/>
        </w:rPr>
        <w:t>за</w:t>
      </w:r>
      <w:r>
        <w:rPr>
          <w:spacing w:val="-4"/>
          <w:u w:val="thick"/>
        </w:rPr>
        <w:t> </w:t>
      </w:r>
      <w:r>
        <w:rPr>
          <w:u w:val="thick"/>
        </w:rPr>
        <w:t>социално-икономическото</w:t>
      </w:r>
      <w:r>
        <w:rPr>
          <w:spacing w:val="-6"/>
          <w:u w:val="thick"/>
        </w:rPr>
        <w:t> </w:t>
      </w:r>
      <w:r>
        <w:rPr>
          <w:u w:val="thick"/>
        </w:rPr>
        <w:t>развитие</w:t>
      </w:r>
      <w:r>
        <w:rPr>
          <w:spacing w:val="-5"/>
          <w:u w:val="thick"/>
        </w:rPr>
        <w:t> </w:t>
      </w:r>
      <w:r>
        <w:rPr>
          <w:u w:val="thick"/>
        </w:rPr>
        <w:t>и</w:t>
      </w:r>
      <w:r>
        <w:rPr>
          <w:spacing w:val="-4"/>
          <w:u w:val="thick"/>
        </w:rPr>
        <w:t> </w:t>
      </w:r>
      <w:r>
        <w:rPr>
          <w:u w:val="thick"/>
        </w:rPr>
        <w:t>поставяне</w:t>
      </w:r>
      <w:r>
        <w:rPr>
          <w:spacing w:val="-5"/>
          <w:u w:val="thick"/>
        </w:rPr>
        <w:t> </w:t>
      </w:r>
      <w:r>
        <w:rPr>
          <w:u w:val="thick"/>
        </w:rPr>
        <w:t>на</w:t>
      </w:r>
      <w:r>
        <w:rPr>
          <w:spacing w:val="-5"/>
          <w:u w:val="thick"/>
        </w:rPr>
        <w:t> </w:t>
      </w:r>
      <w:r>
        <w:rPr>
          <w:u w:val="thick"/>
        </w:rPr>
        <w:t>специален</w:t>
      </w:r>
      <w:r>
        <w:rPr>
          <w:spacing w:val="-4"/>
          <w:u w:val="thick"/>
        </w:rPr>
        <w:t> </w:t>
      </w:r>
      <w:r>
        <w:rPr>
          <w:u w:val="thick"/>
        </w:rPr>
        <w:t>акцент</w:t>
      </w:r>
      <w:r>
        <w:rPr>
          <w:u w:val="none"/>
        </w:rPr>
        <w:t> </w:t>
      </w:r>
      <w:r>
        <w:rPr>
          <w:u w:val="thick"/>
        </w:rPr>
        <w:t>върху младите хора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17" w:after="0"/>
        <w:ind w:left="679" w:right="556" w:hanging="567"/>
        <w:jc w:val="left"/>
        <w:rPr>
          <w:sz w:val="24"/>
        </w:rPr>
      </w:pPr>
      <w:r>
        <w:rPr>
          <w:sz w:val="24"/>
        </w:rPr>
        <w:t>Разширяване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Инвестиционната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рамка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Западните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Балкани</w:t>
      </w:r>
      <w:r>
        <w:rPr>
          <w:b/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допълнително привличане и координиране на инвестициите от двустранни донори и от международните финансови институции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1" w:after="0"/>
        <w:ind w:left="679" w:right="251" w:hanging="567"/>
        <w:jc w:val="left"/>
        <w:rPr>
          <w:sz w:val="24"/>
        </w:rPr>
      </w:pPr>
      <w:r>
        <w:rPr>
          <w:sz w:val="24"/>
        </w:rPr>
        <w:t>Съществено</w:t>
      </w:r>
      <w:r>
        <w:rPr>
          <w:spacing w:val="-4"/>
          <w:sz w:val="24"/>
        </w:rPr>
        <w:t> </w:t>
      </w:r>
      <w:r>
        <w:rPr>
          <w:sz w:val="24"/>
        </w:rPr>
        <w:t>стимулиране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предоставянето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гаранции</w:t>
      </w:r>
      <w:r>
        <w:rPr>
          <w:b/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Инвестиционната</w:t>
      </w:r>
      <w:r>
        <w:rPr>
          <w:spacing w:val="-5"/>
          <w:sz w:val="24"/>
        </w:rPr>
        <w:t> </w:t>
      </w:r>
      <w:r>
        <w:rPr>
          <w:sz w:val="24"/>
        </w:rPr>
        <w:t>рамка за Западните Балкани за привличане на частни инвестиции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33" w:after="0"/>
        <w:ind w:left="679" w:right="633" w:hanging="567"/>
        <w:jc w:val="left"/>
        <w:rPr>
          <w:b/>
          <w:sz w:val="24"/>
        </w:rPr>
      </w:pPr>
      <w:r>
        <w:rPr>
          <w:sz w:val="24"/>
        </w:rPr>
        <w:t>Увеличаване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подкрепата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образованието,</w:t>
      </w:r>
      <w:r>
        <w:rPr>
          <w:spacing w:val="-7"/>
          <w:sz w:val="24"/>
        </w:rPr>
        <w:t> </w:t>
      </w:r>
      <w:r>
        <w:rPr>
          <w:sz w:val="24"/>
        </w:rPr>
        <w:t>по-специално</w:t>
      </w:r>
      <w:r>
        <w:rPr>
          <w:spacing w:val="-5"/>
          <w:sz w:val="24"/>
        </w:rPr>
        <w:t> </w:t>
      </w:r>
      <w:r>
        <w:rPr>
          <w:sz w:val="24"/>
        </w:rPr>
        <w:t>стартиране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пилотен проект за мобилност в областта на </w:t>
      </w:r>
      <w:r>
        <w:rPr>
          <w:b/>
          <w:sz w:val="24"/>
        </w:rPr>
        <w:t>професионалното образование и обучение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30" w:after="0"/>
        <w:ind w:left="679" w:right="120" w:hanging="567"/>
        <w:jc w:val="left"/>
        <w:rPr>
          <w:sz w:val="24"/>
        </w:rPr>
      </w:pPr>
      <w:r>
        <w:rPr>
          <w:sz w:val="24"/>
        </w:rPr>
        <w:t>Удвояване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финансирането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линия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програмата</w:t>
      </w:r>
      <w:r>
        <w:rPr>
          <w:spacing w:val="-4"/>
          <w:sz w:val="24"/>
        </w:rPr>
        <w:t> </w:t>
      </w:r>
      <w:r>
        <w:rPr>
          <w:sz w:val="24"/>
        </w:rPr>
        <w:t>Еразъм+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региона,</w:t>
      </w:r>
      <w:r>
        <w:rPr>
          <w:spacing w:val="-3"/>
          <w:sz w:val="24"/>
        </w:rPr>
        <w:t> </w:t>
      </w:r>
      <w:r>
        <w:rPr>
          <w:sz w:val="24"/>
        </w:rPr>
        <w:t>включително създаване на „Лаборатория за младежта на Западните Балкани“ през 2018 г., която да осигурява платформа за иновативно изработване на политики, насочени към потребностите на младите хора, и да се бори с „изтичането на мозъци“</w:t>
      </w:r>
    </w:p>
    <w:p>
      <w:pPr>
        <w:spacing w:after="0" w:line="309" w:lineRule="auto"/>
        <w:jc w:val="left"/>
        <w:rPr>
          <w:sz w:val="24"/>
        </w:rPr>
        <w:sectPr>
          <w:pgSz w:w="11910" w:h="16850"/>
          <w:pgMar w:header="0" w:footer="861" w:top="1160" w:bottom="1100" w:left="1020" w:right="1020"/>
        </w:sectPr>
      </w:pP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88" w:after="0"/>
        <w:ind w:left="679" w:right="1210" w:hanging="567"/>
        <w:jc w:val="left"/>
        <w:rPr>
          <w:sz w:val="24"/>
        </w:rPr>
      </w:pPr>
      <w:r>
        <w:rPr>
          <w:sz w:val="24"/>
        </w:rPr>
        <w:t>Разширяване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обхвата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рамките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b/>
          <w:sz w:val="24"/>
        </w:rPr>
        <w:t>Регионалната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служба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младежко сътрудничество </w:t>
      </w:r>
      <w:r>
        <w:rPr>
          <w:sz w:val="24"/>
        </w:rPr>
        <w:t>и въвеждане на схема за мобилност в региона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33" w:after="0"/>
        <w:ind w:left="679" w:right="374" w:hanging="567"/>
        <w:jc w:val="left"/>
        <w:rPr>
          <w:sz w:val="24"/>
        </w:rPr>
      </w:pPr>
      <w:r>
        <w:rPr>
          <w:sz w:val="24"/>
        </w:rPr>
        <w:t>Гарантиране на напредък в реализирането на регионалното икономическо пространство,</w:t>
      </w:r>
      <w:r>
        <w:rPr>
          <w:spacing w:val="-4"/>
          <w:sz w:val="24"/>
        </w:rPr>
        <w:t> </w:t>
      </w:r>
      <w:r>
        <w:rPr>
          <w:sz w:val="24"/>
        </w:rPr>
        <w:t>включително</w:t>
      </w:r>
      <w:r>
        <w:rPr>
          <w:spacing w:val="-5"/>
          <w:sz w:val="24"/>
        </w:rPr>
        <w:t> </w:t>
      </w:r>
      <w:r>
        <w:rPr>
          <w:sz w:val="24"/>
        </w:rPr>
        <w:t>засилване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работата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признаване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квалификациите, както и напредък при улесняването на търговията в рамките на Западните Балкани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1" w:after="0"/>
        <w:ind w:left="679" w:right="556" w:hanging="567"/>
        <w:jc w:val="left"/>
        <w:rPr>
          <w:sz w:val="24"/>
        </w:rPr>
      </w:pPr>
      <w:r>
        <w:rPr>
          <w:sz w:val="24"/>
        </w:rPr>
        <w:t>Напредък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Босна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Херцеговина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Сърбия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процеса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присъединяването</w:t>
      </w:r>
      <w:r>
        <w:rPr>
          <w:spacing w:val="-3"/>
          <w:sz w:val="24"/>
        </w:rPr>
        <w:t> </w:t>
      </w:r>
      <w:r>
        <w:rPr>
          <w:sz w:val="24"/>
        </w:rPr>
        <w:t>им</w:t>
      </w:r>
      <w:r>
        <w:rPr>
          <w:spacing w:val="-4"/>
          <w:sz w:val="24"/>
        </w:rPr>
        <w:t> </w:t>
      </w:r>
      <w:r>
        <w:rPr>
          <w:sz w:val="24"/>
        </w:rPr>
        <w:t>към Световната търговска организация</w:t>
      </w:r>
    </w:p>
    <w:p>
      <w:pPr>
        <w:pStyle w:val="Heading1"/>
        <w:rPr>
          <w:u w:val="none"/>
        </w:rPr>
      </w:pPr>
      <w:r>
        <w:rPr>
          <w:u w:val="thick"/>
        </w:rPr>
        <w:t>Увеличаване</w:t>
      </w:r>
      <w:r>
        <w:rPr>
          <w:spacing w:val="-3"/>
          <w:u w:val="thick"/>
        </w:rPr>
        <w:t> </w:t>
      </w:r>
      <w:r>
        <w:rPr>
          <w:u w:val="thick"/>
        </w:rPr>
        <w:t>на</w:t>
      </w:r>
      <w:r>
        <w:rPr>
          <w:spacing w:val="-2"/>
          <w:u w:val="thick"/>
        </w:rPr>
        <w:t> свързаността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201" w:after="0"/>
        <w:ind w:left="679" w:right="301" w:hanging="567"/>
        <w:jc w:val="left"/>
        <w:rPr>
          <w:sz w:val="24"/>
        </w:rPr>
      </w:pPr>
      <w:r>
        <w:rPr>
          <w:sz w:val="24"/>
        </w:rPr>
        <w:t>Стартиране на </w:t>
      </w:r>
      <w:r>
        <w:rPr>
          <w:b/>
          <w:sz w:val="24"/>
        </w:rPr>
        <w:t>нов пакет от проекти в областта на свързаността </w:t>
      </w:r>
      <w:r>
        <w:rPr>
          <w:sz w:val="24"/>
        </w:rPr>
        <w:t>(със значителен размер безвъзмездни средства от ЕС като стимул) чрез Инвестиционната рамка за Западните</w:t>
      </w:r>
      <w:r>
        <w:rPr>
          <w:spacing w:val="-5"/>
          <w:sz w:val="24"/>
        </w:rPr>
        <w:t> </w:t>
      </w:r>
      <w:r>
        <w:rPr>
          <w:sz w:val="24"/>
        </w:rPr>
        <w:t>Балкани,</w:t>
      </w:r>
      <w:r>
        <w:rPr>
          <w:spacing w:val="-4"/>
          <w:sz w:val="24"/>
        </w:rPr>
        <w:t> </w:t>
      </w:r>
      <w:r>
        <w:rPr>
          <w:sz w:val="24"/>
        </w:rPr>
        <w:t>включително</w:t>
      </w:r>
      <w:r>
        <w:rPr>
          <w:spacing w:val="-4"/>
          <w:sz w:val="24"/>
        </w:rPr>
        <w:t> </w:t>
      </w:r>
      <w:r>
        <w:rPr>
          <w:sz w:val="24"/>
        </w:rPr>
        <w:t>подкрепа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„синята</w:t>
      </w:r>
      <w:r>
        <w:rPr>
          <w:spacing w:val="-5"/>
          <w:sz w:val="24"/>
        </w:rPr>
        <w:t> </w:t>
      </w:r>
      <w:r>
        <w:rPr>
          <w:sz w:val="24"/>
        </w:rPr>
        <w:t>магистрала“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„магистралата</w:t>
      </w:r>
      <w:r>
        <w:rPr>
          <w:spacing w:val="-5"/>
          <w:sz w:val="24"/>
        </w:rPr>
        <w:t> </w:t>
      </w:r>
      <w:r>
        <w:rPr>
          <w:sz w:val="24"/>
        </w:rPr>
        <w:t>на мира“ (Ниш—Прищина)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5" w:after="0"/>
        <w:ind w:left="679" w:right="1055" w:hanging="567"/>
        <w:jc w:val="left"/>
        <w:rPr>
          <w:sz w:val="24"/>
        </w:rPr>
      </w:pPr>
      <w:r>
        <w:rPr>
          <w:sz w:val="24"/>
        </w:rPr>
        <w:t>Подкрепа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по-активно</w:t>
      </w:r>
      <w:r>
        <w:rPr>
          <w:spacing w:val="-3"/>
          <w:sz w:val="24"/>
        </w:rPr>
        <w:t> </w:t>
      </w:r>
      <w:r>
        <w:rPr>
          <w:sz w:val="24"/>
        </w:rPr>
        <w:t>използване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възможностите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линия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настоящите разпоредби на </w:t>
      </w:r>
      <w:r>
        <w:rPr>
          <w:b/>
          <w:sz w:val="24"/>
        </w:rPr>
        <w:t>Механизма за свързване на Европа </w:t>
      </w:r>
      <w:r>
        <w:rPr>
          <w:sz w:val="24"/>
        </w:rPr>
        <w:t>на Западните Балкани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30" w:after="0"/>
        <w:ind w:left="679" w:right="190" w:hanging="567"/>
        <w:jc w:val="left"/>
        <w:rPr>
          <w:sz w:val="24"/>
        </w:rPr>
      </w:pPr>
      <w:r>
        <w:rPr>
          <w:sz w:val="24"/>
        </w:rPr>
        <w:t>Разширяване на </w:t>
      </w:r>
      <w:r>
        <w:rPr>
          <w:b/>
          <w:sz w:val="24"/>
        </w:rPr>
        <w:t>енергийния съюз </w:t>
      </w:r>
      <w:r>
        <w:rPr>
          <w:sz w:val="24"/>
        </w:rPr>
        <w:t>на ЕС с цел обхващане на Западните Балкани, като се постави акцент върху енергийната сигурност и диверсификацията на източниците и доставчиците,</w:t>
      </w:r>
      <w:r>
        <w:rPr>
          <w:spacing w:val="-3"/>
          <w:sz w:val="24"/>
        </w:rPr>
        <w:t> </w:t>
      </w:r>
      <w:r>
        <w:rPr>
          <w:sz w:val="24"/>
        </w:rPr>
        <w:t>включително</w:t>
      </w:r>
      <w:r>
        <w:rPr>
          <w:spacing w:val="-3"/>
          <w:sz w:val="24"/>
        </w:rPr>
        <w:t> </w:t>
      </w:r>
      <w:r>
        <w:rPr>
          <w:sz w:val="24"/>
        </w:rPr>
        <w:t>стратегия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регионално</w:t>
      </w:r>
      <w:r>
        <w:rPr>
          <w:spacing w:val="-3"/>
          <w:sz w:val="24"/>
        </w:rPr>
        <w:t> </w:t>
      </w:r>
      <w:r>
        <w:rPr>
          <w:sz w:val="24"/>
        </w:rPr>
        <w:t>равнище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извличане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ползи</w:t>
      </w:r>
      <w:r>
        <w:rPr>
          <w:spacing w:val="-3"/>
          <w:sz w:val="24"/>
        </w:rPr>
        <w:t> </w:t>
      </w:r>
      <w:r>
        <w:rPr>
          <w:sz w:val="24"/>
        </w:rPr>
        <w:t>от възобновяемите източници на енергия, по-специално водноелектрическата енергия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25" w:after="0"/>
        <w:ind w:left="679" w:right="145" w:hanging="567"/>
        <w:jc w:val="left"/>
        <w:rPr>
          <w:sz w:val="24"/>
        </w:rPr>
      </w:pPr>
      <w:r>
        <w:rPr>
          <w:sz w:val="24"/>
        </w:rPr>
        <w:t>Завършване на изграждането на </w:t>
      </w:r>
      <w:r>
        <w:rPr>
          <w:b/>
          <w:sz w:val="24"/>
        </w:rPr>
        <w:t>регионалния пазар на електроенергия </w:t>
      </w:r>
      <w:r>
        <w:rPr>
          <w:sz w:val="24"/>
        </w:rPr>
        <w:t>на Западните Балкани и осигуряване на интегрирането му</w:t>
      </w:r>
      <w:r>
        <w:rPr>
          <w:spacing w:val="-4"/>
          <w:sz w:val="24"/>
        </w:rPr>
        <w:t> </w:t>
      </w:r>
      <w:r>
        <w:rPr>
          <w:sz w:val="24"/>
        </w:rPr>
        <w:t>във вътрешния пазар на електроенергия на ЕС,</w:t>
      </w:r>
      <w:r>
        <w:rPr>
          <w:spacing w:val="-3"/>
          <w:sz w:val="24"/>
        </w:rPr>
        <w:t> </w:t>
      </w:r>
      <w:r>
        <w:rPr>
          <w:sz w:val="24"/>
        </w:rPr>
        <w:t>включително</w:t>
      </w:r>
      <w:r>
        <w:rPr>
          <w:spacing w:val="-6"/>
          <w:sz w:val="24"/>
        </w:rPr>
        <w:t> </w:t>
      </w:r>
      <w:r>
        <w:rPr>
          <w:sz w:val="24"/>
        </w:rPr>
        <w:t>посредством</w:t>
      </w:r>
      <w:r>
        <w:rPr>
          <w:spacing w:val="-4"/>
          <w:sz w:val="24"/>
        </w:rPr>
        <w:t> </w:t>
      </w:r>
      <w:r>
        <w:rPr>
          <w:sz w:val="24"/>
        </w:rPr>
        <w:t>инициативата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7"/>
          <w:sz w:val="24"/>
        </w:rPr>
        <w:t> </w:t>
      </w:r>
      <w:r>
        <w:rPr>
          <w:sz w:val="24"/>
        </w:rPr>
        <w:t>свързаност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газопреносната</w:t>
      </w:r>
      <w:r>
        <w:rPr>
          <w:spacing w:val="-4"/>
          <w:sz w:val="24"/>
        </w:rPr>
        <w:t> </w:t>
      </w:r>
      <w:r>
        <w:rPr>
          <w:sz w:val="24"/>
        </w:rPr>
        <w:t>система</w:t>
      </w:r>
      <w:r>
        <w:rPr>
          <w:spacing w:val="-2"/>
          <w:sz w:val="24"/>
        </w:rPr>
        <w:t> </w:t>
      </w:r>
      <w:r>
        <w:rPr>
          <w:sz w:val="24"/>
        </w:rPr>
        <w:t>в Централна и Югоизточна Европа (CESEC)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12" w:lineRule="auto" w:before="125" w:after="0"/>
        <w:ind w:left="679" w:right="594" w:hanging="567"/>
        <w:jc w:val="left"/>
        <w:rPr>
          <w:b/>
          <w:sz w:val="24"/>
        </w:rPr>
      </w:pPr>
      <w:r>
        <w:rPr>
          <w:sz w:val="24"/>
        </w:rPr>
        <w:t>По-голяма подкрепа за създаването на единно регулаторно пространство и провеждането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ефективен</w:t>
      </w:r>
      <w:r>
        <w:rPr>
          <w:spacing w:val="-2"/>
          <w:sz w:val="24"/>
        </w:rPr>
        <w:t> </w:t>
      </w:r>
      <w:r>
        <w:rPr>
          <w:sz w:val="24"/>
        </w:rPr>
        <w:t>процес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реформи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енергийния</w:t>
      </w:r>
      <w:r>
        <w:rPr>
          <w:spacing w:val="-5"/>
          <w:sz w:val="24"/>
        </w:rPr>
        <w:t> </w:t>
      </w:r>
      <w:r>
        <w:rPr>
          <w:sz w:val="24"/>
        </w:rPr>
        <w:t>пазар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контекста</w:t>
      </w:r>
      <w:r>
        <w:rPr>
          <w:spacing w:val="-4"/>
          <w:sz w:val="24"/>
        </w:rPr>
        <w:t> </w:t>
      </w:r>
      <w:r>
        <w:rPr>
          <w:sz w:val="24"/>
        </w:rPr>
        <w:t>на </w:t>
      </w:r>
      <w:r>
        <w:rPr>
          <w:b/>
          <w:sz w:val="24"/>
        </w:rPr>
        <w:t>Договора за Енергийната общност</w:t>
      </w:r>
    </w:p>
    <w:p>
      <w:pPr>
        <w:spacing w:after="0" w:line="312" w:lineRule="auto"/>
        <w:jc w:val="left"/>
        <w:rPr>
          <w:sz w:val="24"/>
        </w:rPr>
        <w:sectPr>
          <w:pgSz w:w="11910" w:h="16850"/>
          <w:pgMar w:header="0" w:footer="861" w:top="1040" w:bottom="1100" w:left="1020" w:right="1020"/>
        </w:sectPr>
      </w:pP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88" w:after="0"/>
        <w:ind w:left="679" w:right="300" w:hanging="567"/>
        <w:jc w:val="left"/>
        <w:rPr>
          <w:sz w:val="24"/>
        </w:rPr>
      </w:pPr>
      <w:r>
        <w:rPr>
          <w:sz w:val="24"/>
        </w:rPr>
        <w:t>Подписване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споразумение/меморандум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разбирателство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газопреносната</w:t>
      </w:r>
      <w:r>
        <w:rPr>
          <w:spacing w:val="-5"/>
          <w:sz w:val="24"/>
        </w:rPr>
        <w:t> </w:t>
      </w:r>
      <w:r>
        <w:rPr>
          <w:sz w:val="24"/>
        </w:rPr>
        <w:t>връзка </w:t>
      </w:r>
      <w:r>
        <w:rPr>
          <w:spacing w:val="-2"/>
          <w:sz w:val="24"/>
        </w:rPr>
        <w:t>България—Сърбия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33" w:after="0"/>
        <w:ind w:left="679" w:right="245" w:hanging="567"/>
        <w:jc w:val="left"/>
        <w:rPr>
          <w:sz w:val="24"/>
        </w:rPr>
      </w:pPr>
      <w:r>
        <w:rPr>
          <w:sz w:val="24"/>
        </w:rPr>
        <w:t>Започване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изпълнението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Договора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Транспортната</w:t>
      </w:r>
      <w:r>
        <w:rPr>
          <w:spacing w:val="-4"/>
          <w:sz w:val="24"/>
        </w:rPr>
        <w:t> </w:t>
      </w:r>
      <w:r>
        <w:rPr>
          <w:sz w:val="24"/>
        </w:rPr>
        <w:t>общност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пълноценното функциониране на свързания с договора секретариат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30" w:after="0"/>
        <w:ind w:left="679" w:right="310" w:hanging="567"/>
        <w:jc w:val="left"/>
        <w:rPr>
          <w:sz w:val="24"/>
        </w:rPr>
      </w:pPr>
      <w:r>
        <w:rPr>
          <w:sz w:val="24"/>
        </w:rPr>
        <w:t>Подписване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споразумението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седалището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Договора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Транспортната</w:t>
      </w:r>
      <w:r>
        <w:rPr>
          <w:spacing w:val="-4"/>
          <w:sz w:val="24"/>
        </w:rPr>
        <w:t> </w:t>
      </w:r>
      <w:r>
        <w:rPr>
          <w:sz w:val="24"/>
        </w:rPr>
        <w:t>общност </w:t>
      </w:r>
      <w:r>
        <w:rPr>
          <w:spacing w:val="-2"/>
          <w:sz w:val="24"/>
        </w:rPr>
        <w:t>(Белград)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31" w:after="0"/>
        <w:ind w:left="679" w:right="846" w:hanging="567"/>
        <w:jc w:val="left"/>
        <w:rPr>
          <w:sz w:val="24"/>
        </w:rPr>
      </w:pPr>
      <w:r>
        <w:rPr>
          <w:sz w:val="24"/>
        </w:rPr>
        <w:t>Одобряване на декларацията на министрите на транспорта от дните на TEN-T в Любляна,</w:t>
      </w:r>
      <w:r>
        <w:rPr>
          <w:spacing w:val="-3"/>
          <w:sz w:val="24"/>
        </w:rPr>
        <w:t> </w:t>
      </w:r>
      <w:r>
        <w:rPr>
          <w:sz w:val="24"/>
        </w:rPr>
        <w:t>включително</w:t>
      </w:r>
      <w:r>
        <w:rPr>
          <w:spacing w:val="-6"/>
          <w:sz w:val="24"/>
        </w:rPr>
        <w:t> </w:t>
      </w:r>
      <w:r>
        <w:rPr>
          <w:sz w:val="24"/>
        </w:rPr>
        <w:t>плана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действие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списъка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приоритетните</w:t>
      </w:r>
      <w:r>
        <w:rPr>
          <w:spacing w:val="-4"/>
          <w:sz w:val="24"/>
        </w:rPr>
        <w:t> </w:t>
      </w:r>
      <w:r>
        <w:rPr>
          <w:sz w:val="24"/>
        </w:rPr>
        <w:t>гранични пропускателни пунктове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23" w:after="0"/>
        <w:ind w:left="679" w:right="1410" w:hanging="567"/>
        <w:jc w:val="left"/>
        <w:rPr>
          <w:sz w:val="24"/>
        </w:rPr>
      </w:pPr>
      <w:r>
        <w:rPr>
          <w:sz w:val="24"/>
        </w:rPr>
        <w:t>Одобряване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декларацията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министрите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транспорта</w:t>
      </w:r>
      <w:r>
        <w:rPr>
          <w:spacing w:val="-4"/>
          <w:sz w:val="24"/>
        </w:rPr>
        <w:t> </w:t>
      </w:r>
      <w:r>
        <w:rPr>
          <w:sz w:val="24"/>
        </w:rPr>
        <w:t>относно</w:t>
      </w:r>
      <w:r>
        <w:rPr>
          <w:spacing w:val="-6"/>
          <w:sz w:val="24"/>
        </w:rPr>
        <w:t> </w:t>
      </w:r>
      <w:r>
        <w:rPr>
          <w:sz w:val="24"/>
        </w:rPr>
        <w:t>пътната безопасност от дните на TEN-T в Любляна и на плана за действие към нея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4" w:lineRule="auto" w:before="131" w:after="0"/>
        <w:ind w:left="679" w:right="227" w:hanging="567"/>
        <w:jc w:val="left"/>
        <w:rPr>
          <w:sz w:val="24"/>
        </w:rPr>
      </w:pPr>
      <w:r>
        <w:rPr>
          <w:sz w:val="24"/>
        </w:rPr>
        <w:t>Подкрепа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нова</w:t>
      </w:r>
      <w:r>
        <w:rPr>
          <w:spacing w:val="-4"/>
          <w:sz w:val="24"/>
        </w:rPr>
        <w:t> </w:t>
      </w:r>
      <w:r>
        <w:rPr>
          <w:sz w:val="24"/>
        </w:rPr>
        <w:t>стратегия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железопътния</w:t>
      </w:r>
      <w:r>
        <w:rPr>
          <w:spacing w:val="-3"/>
          <w:sz w:val="24"/>
        </w:rPr>
        <w:t> </w:t>
      </w:r>
      <w:r>
        <w:rPr>
          <w:sz w:val="24"/>
        </w:rPr>
        <w:t>транспорт,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да</w:t>
      </w:r>
      <w:r>
        <w:rPr>
          <w:spacing w:val="-4"/>
          <w:sz w:val="24"/>
        </w:rPr>
        <w:t> </w:t>
      </w:r>
      <w:r>
        <w:rPr>
          <w:sz w:val="24"/>
        </w:rPr>
        <w:t>могат</w:t>
      </w:r>
      <w:r>
        <w:rPr>
          <w:spacing w:val="-3"/>
          <w:sz w:val="24"/>
        </w:rPr>
        <w:t> </w:t>
      </w:r>
      <w:r>
        <w:rPr>
          <w:sz w:val="24"/>
        </w:rPr>
        <w:t>Западните</w:t>
      </w:r>
      <w:r>
        <w:rPr>
          <w:spacing w:val="-4"/>
          <w:sz w:val="24"/>
        </w:rPr>
        <w:t> </w:t>
      </w:r>
      <w:r>
        <w:rPr>
          <w:sz w:val="24"/>
        </w:rPr>
        <w:t>Балкани да бъдат включени в основната мрежа и пазар на ЕС</w:t>
      </w:r>
    </w:p>
    <w:p>
      <w:pPr>
        <w:pStyle w:val="Heading1"/>
        <w:rPr>
          <w:u w:val="none"/>
        </w:rPr>
      </w:pPr>
      <w:r>
        <w:rPr>
          <w:u w:val="thick"/>
        </w:rPr>
        <w:t>Програма</w:t>
      </w:r>
      <w:r>
        <w:rPr>
          <w:spacing w:val="-4"/>
          <w:u w:val="thick"/>
        </w:rPr>
        <w:t> </w:t>
      </w:r>
      <w:r>
        <w:rPr>
          <w:u w:val="thick"/>
        </w:rPr>
        <w:t>в</w:t>
      </w:r>
      <w:r>
        <w:rPr>
          <w:spacing w:val="-3"/>
          <w:u w:val="thick"/>
        </w:rPr>
        <w:t> </w:t>
      </w:r>
      <w:r>
        <w:rPr>
          <w:u w:val="thick"/>
        </w:rPr>
        <w:t>областта</w:t>
      </w:r>
      <w:r>
        <w:rPr>
          <w:spacing w:val="-4"/>
          <w:u w:val="thick"/>
        </w:rPr>
        <w:t> </w:t>
      </w:r>
      <w:r>
        <w:rPr>
          <w:u w:val="thick"/>
        </w:rPr>
        <w:t>на</w:t>
      </w:r>
      <w:r>
        <w:rPr>
          <w:spacing w:val="-2"/>
          <w:u w:val="thick"/>
        </w:rPr>
        <w:t> </w:t>
      </w:r>
      <w:r>
        <w:rPr>
          <w:u w:val="thick"/>
        </w:rPr>
        <w:t>цифровите</w:t>
      </w:r>
      <w:r>
        <w:rPr>
          <w:spacing w:val="-3"/>
          <w:u w:val="thick"/>
        </w:rPr>
        <w:t> </w:t>
      </w:r>
      <w:r>
        <w:rPr>
          <w:u w:val="thick"/>
        </w:rPr>
        <w:t>технологии</w:t>
      </w:r>
      <w:r>
        <w:rPr>
          <w:spacing w:val="-1"/>
          <w:u w:val="thick"/>
        </w:rPr>
        <w:t> </w:t>
      </w:r>
      <w:r>
        <w:rPr>
          <w:u w:val="thick"/>
        </w:rPr>
        <w:t>за</w:t>
      </w:r>
      <w:r>
        <w:rPr>
          <w:spacing w:val="-2"/>
          <w:u w:val="thick"/>
        </w:rPr>
        <w:t> </w:t>
      </w:r>
      <w:r>
        <w:rPr>
          <w:u w:val="thick"/>
        </w:rPr>
        <w:t>Западните</w:t>
      </w:r>
      <w:r>
        <w:rPr>
          <w:spacing w:val="-2"/>
          <w:u w:val="thick"/>
        </w:rPr>
        <w:t> Балкани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99" w:after="0"/>
        <w:ind w:left="679" w:right="855" w:hanging="567"/>
        <w:jc w:val="left"/>
        <w:rPr>
          <w:sz w:val="24"/>
        </w:rPr>
      </w:pPr>
      <w:r>
        <w:rPr>
          <w:sz w:val="24"/>
        </w:rPr>
        <w:t>Стартиране на </w:t>
      </w:r>
      <w:r>
        <w:rPr>
          <w:b/>
          <w:sz w:val="24"/>
        </w:rPr>
        <w:t>програма в областта на цифровите технологии за Западните Балкани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включително</w:t>
      </w:r>
      <w:r>
        <w:rPr>
          <w:spacing w:val="-5"/>
          <w:sz w:val="24"/>
        </w:rPr>
        <w:t> </w:t>
      </w:r>
      <w:r>
        <w:rPr>
          <w:sz w:val="24"/>
        </w:rPr>
        <w:t>пътна</w:t>
      </w:r>
      <w:r>
        <w:rPr>
          <w:spacing w:val="-3"/>
          <w:sz w:val="24"/>
        </w:rPr>
        <w:t> </w:t>
      </w:r>
      <w:r>
        <w:rPr>
          <w:sz w:val="24"/>
        </w:rPr>
        <w:t>карта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улесняване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понижаването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цените</w:t>
      </w:r>
      <w:r>
        <w:rPr>
          <w:spacing w:val="-3"/>
          <w:sz w:val="24"/>
        </w:rPr>
        <w:t> </w:t>
      </w:r>
      <w:r>
        <w:rPr>
          <w:sz w:val="24"/>
        </w:rPr>
        <w:t>на </w:t>
      </w:r>
      <w:r>
        <w:rPr>
          <w:spacing w:val="-2"/>
          <w:sz w:val="24"/>
        </w:rPr>
        <w:t>роуминга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123" w:after="0"/>
        <w:ind w:left="679" w:right="251" w:hanging="567"/>
        <w:jc w:val="left"/>
        <w:rPr>
          <w:sz w:val="24"/>
        </w:rPr>
      </w:pPr>
      <w:r>
        <w:rPr>
          <w:sz w:val="24"/>
        </w:rPr>
        <w:t>Стартиране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пакет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съществена</w:t>
      </w:r>
      <w:r>
        <w:rPr>
          <w:spacing w:val="-4"/>
          <w:sz w:val="24"/>
        </w:rPr>
        <w:t> </w:t>
      </w:r>
      <w:r>
        <w:rPr>
          <w:sz w:val="24"/>
        </w:rPr>
        <w:t>техническа</w:t>
      </w:r>
      <w:r>
        <w:rPr>
          <w:spacing w:val="-4"/>
          <w:sz w:val="24"/>
        </w:rPr>
        <w:t> </w:t>
      </w:r>
      <w:r>
        <w:rPr>
          <w:sz w:val="24"/>
        </w:rPr>
        <w:t>помощ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набелязване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потенциални инвестиции в цифровата област </w:t>
      </w:r>
      <w:r>
        <w:rPr>
          <w:sz w:val="24"/>
        </w:rPr>
        <w:t>(включително широколентов достъп) чрез Инвестиционната рамка за Западните Балкани/Инструмента за предприсъединителна </w:t>
      </w:r>
      <w:r>
        <w:rPr>
          <w:spacing w:val="-2"/>
          <w:sz w:val="24"/>
        </w:rPr>
        <w:t>помощ</w:t>
      </w:r>
    </w:p>
    <w:p>
      <w:pPr>
        <w:pStyle w:val="Heading1"/>
        <w:spacing w:before="127"/>
        <w:rPr>
          <w:u w:val="none"/>
        </w:rPr>
      </w:pPr>
      <w:r>
        <w:rPr>
          <w:u w:val="thick"/>
        </w:rPr>
        <w:t>Подкрепа</w:t>
      </w:r>
      <w:r>
        <w:rPr>
          <w:spacing w:val="-5"/>
          <w:u w:val="thick"/>
        </w:rPr>
        <w:t> </w:t>
      </w:r>
      <w:r>
        <w:rPr>
          <w:u w:val="thick"/>
        </w:rPr>
        <w:t>за</w:t>
      </w:r>
      <w:r>
        <w:rPr>
          <w:spacing w:val="-5"/>
          <w:u w:val="thick"/>
        </w:rPr>
        <w:t> </w:t>
      </w:r>
      <w:r>
        <w:rPr>
          <w:u w:val="thick"/>
        </w:rPr>
        <w:t>помирението</w:t>
      </w:r>
      <w:r>
        <w:rPr>
          <w:spacing w:val="-2"/>
          <w:u w:val="thick"/>
        </w:rPr>
        <w:t> </w:t>
      </w:r>
      <w:r>
        <w:rPr>
          <w:u w:val="thick"/>
        </w:rPr>
        <w:t>и</w:t>
      </w:r>
      <w:r>
        <w:rPr>
          <w:spacing w:val="-3"/>
          <w:u w:val="thick"/>
        </w:rPr>
        <w:t> </w:t>
      </w:r>
      <w:r>
        <w:rPr>
          <w:u w:val="thick"/>
        </w:rPr>
        <w:t>добросъседските</w:t>
      </w:r>
      <w:r>
        <w:rPr>
          <w:spacing w:val="-3"/>
          <w:u w:val="thick"/>
        </w:rPr>
        <w:t> </w:t>
      </w:r>
      <w:r>
        <w:rPr>
          <w:u w:val="thick"/>
        </w:rPr>
        <w:t>отношения</w:t>
      </w:r>
      <w:r>
        <w:rPr>
          <w:spacing w:val="-3"/>
          <w:u w:val="thick"/>
        </w:rPr>
        <w:t> </w:t>
      </w:r>
      <w:r>
        <w:rPr>
          <w:u w:val="thick"/>
        </w:rPr>
        <w:t>на</w:t>
      </w:r>
      <w:r>
        <w:rPr>
          <w:spacing w:val="-3"/>
          <w:u w:val="thick"/>
        </w:rPr>
        <w:t> </w:t>
      </w:r>
      <w:r>
        <w:rPr>
          <w:u w:val="thick"/>
        </w:rPr>
        <w:t>Западните</w:t>
      </w:r>
      <w:r>
        <w:rPr>
          <w:spacing w:val="-2"/>
          <w:u w:val="thick"/>
        </w:rPr>
        <w:t> Балкани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7" w:lineRule="auto" w:before="201" w:after="0"/>
        <w:ind w:left="679" w:right="592" w:hanging="567"/>
        <w:jc w:val="left"/>
        <w:rPr>
          <w:sz w:val="24"/>
        </w:rPr>
      </w:pPr>
      <w:r>
        <w:rPr>
          <w:sz w:val="24"/>
        </w:rPr>
        <w:t>Подкрепа за </w:t>
      </w:r>
      <w:r>
        <w:rPr>
          <w:b/>
          <w:sz w:val="24"/>
        </w:rPr>
        <w:t>борбата с безнаказаността </w:t>
      </w:r>
      <w:r>
        <w:rPr>
          <w:sz w:val="24"/>
        </w:rPr>
        <w:t>чрез подпомагане на Механизма за международните</w:t>
      </w:r>
      <w:r>
        <w:rPr>
          <w:spacing w:val="-5"/>
          <w:sz w:val="24"/>
        </w:rPr>
        <w:t> </w:t>
      </w:r>
      <w:r>
        <w:rPr>
          <w:sz w:val="24"/>
        </w:rPr>
        <w:t>наказателни</w:t>
      </w:r>
      <w:r>
        <w:rPr>
          <w:spacing w:val="-3"/>
          <w:sz w:val="24"/>
        </w:rPr>
        <w:t> </w:t>
      </w:r>
      <w:r>
        <w:rPr>
          <w:sz w:val="24"/>
        </w:rPr>
        <w:t>трибунали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специализираните</w:t>
      </w:r>
      <w:r>
        <w:rPr>
          <w:spacing w:val="-5"/>
          <w:sz w:val="24"/>
        </w:rPr>
        <w:t> </w:t>
      </w:r>
      <w:r>
        <w:rPr>
          <w:sz w:val="24"/>
        </w:rPr>
        <w:t>състави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Косово</w:t>
      </w:r>
      <w:hyperlink w:history="true" w:anchor="_bookmark0">
        <w:r>
          <w:rPr>
            <w:b/>
            <w:position w:val="8"/>
            <w:sz w:val="16"/>
          </w:rPr>
          <w:t>*</w:t>
        </w:r>
      </w:hyperlink>
      <w:r>
        <w:rPr>
          <w:b/>
          <w:spacing w:val="40"/>
          <w:position w:val="8"/>
          <w:sz w:val="16"/>
        </w:rPr>
        <w:t> </w:t>
      </w:r>
      <w:r>
        <w:rPr>
          <w:sz w:val="24"/>
        </w:rPr>
        <w:t>посредством EULEX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240" w:lineRule="auto" w:before="124" w:after="0"/>
        <w:ind w:left="679" w:right="0" w:hanging="568"/>
        <w:jc w:val="left"/>
        <w:rPr>
          <w:sz w:val="24"/>
        </w:rPr>
      </w:pPr>
      <w:r>
        <w:rPr>
          <w:sz w:val="24"/>
        </w:rPr>
        <w:t>Разкриване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компонент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програмата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ЕС</w:t>
      </w:r>
      <w:r>
        <w:rPr>
          <w:spacing w:val="-1"/>
          <w:sz w:val="24"/>
        </w:rPr>
        <w:t> </w:t>
      </w:r>
      <w:r>
        <w:rPr>
          <w:sz w:val="24"/>
        </w:rPr>
        <w:t>„</w:t>
      </w:r>
      <w:r>
        <w:rPr>
          <w:b/>
          <w:sz w:val="24"/>
        </w:rPr>
        <w:t>Творческа </w:t>
      </w:r>
      <w:r>
        <w:rPr>
          <w:b/>
          <w:spacing w:val="-2"/>
          <w:sz w:val="24"/>
        </w:rPr>
        <w:t>Европа</w:t>
      </w:r>
      <w:r>
        <w:rPr>
          <w:spacing w:val="-2"/>
          <w:sz w:val="24"/>
        </w:rPr>
        <w:t>“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  <w:tab w:pos="680" w:val="left" w:leader="none"/>
        </w:tabs>
        <w:spacing w:line="309" w:lineRule="auto" w:before="203" w:after="0"/>
        <w:ind w:left="679" w:right="117" w:hanging="567"/>
        <w:jc w:val="left"/>
        <w:rPr>
          <w:sz w:val="24"/>
        </w:rPr>
      </w:pPr>
      <w:r>
        <w:rPr>
          <w:sz w:val="24"/>
        </w:rPr>
        <w:t>Насърчаване на задълбочаването на връзките между гражданските общества на Западните</w:t>
      </w:r>
      <w:r>
        <w:rPr>
          <w:spacing w:val="-4"/>
          <w:sz w:val="24"/>
        </w:rPr>
        <w:t> </w:t>
      </w:r>
      <w:r>
        <w:rPr>
          <w:sz w:val="24"/>
        </w:rPr>
        <w:t>Балкани,</w:t>
      </w:r>
      <w:r>
        <w:rPr>
          <w:spacing w:val="-3"/>
          <w:sz w:val="24"/>
        </w:rPr>
        <w:t> </w:t>
      </w:r>
      <w:r>
        <w:rPr>
          <w:sz w:val="24"/>
        </w:rPr>
        <w:t>включително</w:t>
      </w:r>
      <w:r>
        <w:rPr>
          <w:spacing w:val="-3"/>
          <w:sz w:val="24"/>
        </w:rPr>
        <w:t> </w:t>
      </w:r>
      <w:r>
        <w:rPr>
          <w:sz w:val="24"/>
        </w:rPr>
        <w:t>посредством</w:t>
      </w:r>
      <w:r>
        <w:rPr>
          <w:spacing w:val="-4"/>
          <w:sz w:val="24"/>
        </w:rPr>
        <w:t> </w:t>
      </w:r>
      <w:r>
        <w:rPr>
          <w:sz w:val="24"/>
        </w:rPr>
        <w:t>подпомагането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проектите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линия</w:t>
      </w:r>
      <w:r>
        <w:rPr>
          <w:spacing w:val="-6"/>
          <w:sz w:val="24"/>
        </w:rPr>
        <w:t> </w:t>
      </w:r>
      <w:r>
        <w:rPr>
          <w:sz w:val="24"/>
        </w:rPr>
        <w:t>на фонда за Западните Балкани</w:t>
      </w:r>
    </w:p>
    <w:p>
      <w:pPr>
        <w:pStyle w:val="BodyText"/>
        <w:spacing w:line="312" w:lineRule="auto" w:before="121"/>
        <w:ind w:left="112" w:firstLine="0"/>
      </w:pPr>
      <w:r>
        <w:rPr/>
        <w:t>Настоящата</w:t>
      </w:r>
      <w:r>
        <w:rPr>
          <w:spacing w:val="-3"/>
        </w:rPr>
        <w:t> </w:t>
      </w:r>
      <w:r>
        <w:rPr/>
        <w:t>приоритетна</w:t>
      </w:r>
      <w:r>
        <w:rPr>
          <w:spacing w:val="-3"/>
        </w:rPr>
        <w:t> </w:t>
      </w:r>
      <w:r>
        <w:rPr/>
        <w:t>програма</w:t>
      </w:r>
      <w:r>
        <w:rPr>
          <w:spacing w:val="-3"/>
        </w:rPr>
        <w:t> </w:t>
      </w:r>
      <w:r>
        <w:rPr/>
        <w:t>ще</w:t>
      </w:r>
      <w:r>
        <w:rPr>
          <w:spacing w:val="-3"/>
        </w:rPr>
        <w:t> </w:t>
      </w:r>
      <w:r>
        <w:rPr/>
        <w:t>се</w:t>
      </w:r>
      <w:r>
        <w:rPr>
          <w:spacing w:val="-3"/>
        </w:rPr>
        <w:t> </w:t>
      </w:r>
      <w:r>
        <w:rPr/>
        <w:t>изпълнява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начин,</w:t>
      </w:r>
      <w:r>
        <w:rPr>
          <w:spacing w:val="-5"/>
        </w:rPr>
        <w:t> </w:t>
      </w:r>
      <w:r>
        <w:rPr/>
        <w:t>неутрален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отношение</w:t>
      </w:r>
      <w:r>
        <w:rPr>
          <w:spacing w:val="-3"/>
        </w:rPr>
        <w:t> </w:t>
      </w:r>
      <w:r>
        <w:rPr/>
        <w:t>на статута, и без да се засягат обсъжданията на следващата многогодишна финансова рамка.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8"/>
        <w:ind w:left="0" w:firstLine="0"/>
        <w:rPr>
          <w:sz w:val="23"/>
        </w:rPr>
      </w:pPr>
      <w:r>
        <w:rPr/>
        <w:pict>
          <v:rect style="position:absolute;margin-left:56.639999pt;margin-top:14.871606pt;width:144pt;height:.599pt;mso-position-horizontal-relative:page;mso-position-vertical-relative:paragraph;z-index:-15724544;mso-wrap-distance-left:0;mso-wrap-distance-right:0" id="docshape46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832" w:val="left" w:leader="none"/>
        </w:tabs>
        <w:spacing w:before="97"/>
        <w:ind w:left="832" w:right="799" w:hanging="720"/>
      </w:pPr>
      <w:bookmarkStart w:name="_bookmark0" w:id="2"/>
      <w:bookmarkEnd w:id="2"/>
      <w:r>
        <w:rPr/>
      </w:r>
      <w:r>
        <w:rPr>
          <w:b/>
          <w:spacing w:val="-10"/>
          <w:position w:val="8"/>
          <w:sz w:val="16"/>
        </w:rPr>
        <w:t>*</w:t>
      </w:r>
      <w:r>
        <w:rPr>
          <w:b/>
          <w:position w:val="8"/>
          <w:sz w:val="16"/>
        </w:rPr>
        <w:tab/>
      </w:r>
      <w:r>
        <w:rPr/>
        <w:t>Това название не засяга позициите по отношение на статута и е съобразено с Резолюция 1244 (1999) на Съвета за сигурност на ООН и становището на Международния</w:t>
      </w:r>
      <w:r>
        <w:rPr>
          <w:spacing w:val="-4"/>
        </w:rPr>
        <w:t> </w:t>
      </w:r>
      <w:r>
        <w:rPr/>
        <w:t>съд</w:t>
      </w:r>
      <w:r>
        <w:rPr>
          <w:spacing w:val="-4"/>
        </w:rPr>
        <w:t> </w:t>
      </w:r>
      <w:r>
        <w:rPr/>
        <w:t>относно</w:t>
      </w:r>
      <w:r>
        <w:rPr>
          <w:spacing w:val="-4"/>
        </w:rPr>
        <w:t> </w:t>
      </w:r>
      <w:r>
        <w:rPr/>
        <w:t>обявяването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независимост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страна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Косово.</w:t>
      </w:r>
    </w:p>
    <w:sectPr>
      <w:pgSz w:w="11910" w:h="16850"/>
      <w:pgMar w:header="0" w:footer="861" w:top="1040" w:bottom="106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9.559998pt;margin-top:785.226624pt;width:13pt;height:15.3pt;mso-position-horizontal-relative:page;mso-position-vertical-relative:page;z-index:-15833088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60" w:firstLine="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hint="default"/>
        <w:w w:val="100"/>
        <w:lang w:val="bg-BG" w:eastAsia="en-US" w:bidi="ar-SA"/>
      </w:rPr>
    </w:lvl>
    <w:lvl w:ilvl="1">
      <w:start w:val="0"/>
      <w:numFmt w:val="bullet"/>
      <w:lvlText w:val=""/>
      <w:lvlJc w:val="left"/>
      <w:pPr>
        <w:ind w:left="679" w:hanging="56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2">
      <w:start w:val="0"/>
      <w:numFmt w:val="bullet"/>
      <w:lvlText w:val="•"/>
      <w:lvlJc w:val="left"/>
      <w:pPr>
        <w:ind w:left="2517" w:hanging="567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435" w:hanging="567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354" w:hanging="567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273" w:hanging="567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191" w:hanging="567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110" w:hanging="567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029" w:hanging="567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bg-BG" w:eastAsia="en-US" w:bidi="ar-SA"/>
    </w:rPr>
  </w:style>
  <w:style w:styleId="BodyText" w:type="paragraph">
    <w:name w:val="Body Text"/>
    <w:basedOn w:val="Normal"/>
    <w:uiPriority w:val="1"/>
    <w:qFormat/>
    <w:pPr>
      <w:ind w:left="679" w:hanging="567"/>
    </w:pPr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styleId="Heading1" w:type="paragraph">
    <w:name w:val="Heading 1"/>
    <w:basedOn w:val="Normal"/>
    <w:uiPriority w:val="1"/>
    <w:qFormat/>
    <w:pPr>
      <w:spacing w:before="133"/>
      <w:ind w:left="112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bg-BG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679" w:hanging="567"/>
    </w:pPr>
    <w:rPr>
      <w:rFonts w:ascii="Times New Roman" w:hAnsi="Times New Roman" w:eastAsia="Times New Roman" w:cs="Times New Roman"/>
      <w:lang w:val="bg-BG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bg-BG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Secretariat of European Council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DQC</dc:creator>
  <dc:description/>
  <dcterms:created xsi:type="dcterms:W3CDTF">2024-03-27T17:21:53Z</dcterms:created>
  <dcterms:modified xsi:type="dcterms:W3CDTF">2024-03-27T17:21:53Z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2024-03-27T00:00:00Z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D:20180517072603</vt:lpwstr>
  </property>
</Properties>
</file>